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E880" w14:textId="77777777" w:rsidR="00A430A5" w:rsidRDefault="00A430A5" w:rsidP="006A40FD">
      <w:pPr>
        <w:pStyle w:val="NormalWeb"/>
        <w:spacing w:before="0" w:beforeAutospacing="0" w:after="0" w:afterAutospacing="0"/>
        <w:jc w:val="both"/>
        <w:rPr>
          <w:rFonts w:ascii="Verdana" w:hAnsi="Verdana" w:cs="Tahoma"/>
          <w:b/>
        </w:rPr>
      </w:pPr>
      <w:bookmarkStart w:id="0" w:name="top"/>
    </w:p>
    <w:p w14:paraId="6629465F" w14:textId="77777777" w:rsidR="006A40FD" w:rsidRPr="009C7565" w:rsidRDefault="006A40FD" w:rsidP="006A40FD">
      <w:pPr>
        <w:pStyle w:val="NormalWeb"/>
        <w:spacing w:before="0" w:beforeAutospacing="0" w:after="0" w:afterAutospacing="0"/>
        <w:jc w:val="both"/>
        <w:rPr>
          <w:rFonts w:ascii="Verdana" w:hAnsi="Verdana" w:cs="Tahoma"/>
          <w:b/>
        </w:rPr>
      </w:pPr>
      <w:r w:rsidRPr="009C7565">
        <w:rPr>
          <w:rFonts w:ascii="Verdana" w:hAnsi="Verdana" w:cs="Tahoma"/>
          <w:b/>
        </w:rPr>
        <w:t xml:space="preserve">Writing Off Your </w:t>
      </w:r>
      <w:r w:rsidR="008530C9" w:rsidRPr="009C7565">
        <w:rPr>
          <w:rFonts w:ascii="Verdana" w:hAnsi="Verdana" w:cs="Tahoma"/>
          <w:b/>
        </w:rPr>
        <w:t xml:space="preserve">Business </w:t>
      </w:r>
      <w:r w:rsidRPr="009C7565">
        <w:rPr>
          <w:rFonts w:ascii="Verdana" w:hAnsi="Verdana" w:cs="Tahoma"/>
          <w:b/>
        </w:rPr>
        <w:t>Start-Up Expenses</w:t>
      </w:r>
    </w:p>
    <w:p w14:paraId="587D9C7A" w14:textId="77777777" w:rsidR="006A40FD" w:rsidRPr="009C7565" w:rsidRDefault="006A40FD" w:rsidP="00EA6CFC">
      <w:pPr>
        <w:pStyle w:val="NormalWeb"/>
        <w:spacing w:before="0" w:beforeAutospacing="0" w:after="0" w:afterAutospacing="0"/>
        <w:rPr>
          <w:rFonts w:ascii="Verdana" w:hAnsi="Verdana" w:cs="Tahoma"/>
          <w:sz w:val="20"/>
          <w:szCs w:val="20"/>
        </w:rPr>
      </w:pPr>
    </w:p>
    <w:p w14:paraId="30CF1A55" w14:textId="6F1F6E61" w:rsidR="00EA6CFC" w:rsidRDefault="00EA6CFC" w:rsidP="000E5B60">
      <w:pPr>
        <w:pStyle w:val="NormalWeb"/>
        <w:spacing w:before="120" w:beforeAutospacing="0" w:after="0" w:afterAutospacing="0"/>
        <w:rPr>
          <w:rFonts w:ascii="Verdana" w:hAnsi="Verdana" w:cs="Tahoma"/>
          <w:b/>
          <w:sz w:val="20"/>
          <w:szCs w:val="20"/>
        </w:rPr>
      </w:pPr>
      <w:r w:rsidRPr="009C7565">
        <w:rPr>
          <w:rFonts w:ascii="Verdana" w:hAnsi="Verdana" w:cs="Tahoma"/>
          <w:b/>
          <w:sz w:val="20"/>
          <w:szCs w:val="20"/>
        </w:rPr>
        <w:t>Article Highlights:</w:t>
      </w:r>
    </w:p>
    <w:p w14:paraId="23DA6DAF" w14:textId="77777777" w:rsidR="00A83608" w:rsidRPr="009C7565" w:rsidRDefault="00A83608" w:rsidP="000E5B60">
      <w:pPr>
        <w:pStyle w:val="NormalWeb"/>
        <w:spacing w:before="120" w:beforeAutospacing="0" w:after="0" w:afterAutospacing="0"/>
        <w:rPr>
          <w:rFonts w:ascii="Verdana" w:hAnsi="Verdana" w:cs="Tahoma"/>
          <w:b/>
          <w:sz w:val="20"/>
          <w:szCs w:val="20"/>
        </w:rPr>
      </w:pPr>
    </w:p>
    <w:p w14:paraId="143202A7" w14:textId="77777777" w:rsidR="00EA6CFC" w:rsidRPr="009C7565" w:rsidRDefault="00EA6CFC" w:rsidP="00EA6CFC">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 xml:space="preserve">$5,000 </w:t>
      </w:r>
      <w:r w:rsidR="007914CB" w:rsidRPr="009C7565">
        <w:rPr>
          <w:rFonts w:ascii="Verdana" w:hAnsi="Verdana" w:cs="Tahoma"/>
          <w:sz w:val="20"/>
          <w:szCs w:val="20"/>
        </w:rPr>
        <w:t>F</w:t>
      </w:r>
      <w:r w:rsidRPr="009C7565">
        <w:rPr>
          <w:rFonts w:ascii="Verdana" w:hAnsi="Verdana" w:cs="Tahoma"/>
          <w:sz w:val="20"/>
          <w:szCs w:val="20"/>
        </w:rPr>
        <w:t>irst</w:t>
      </w:r>
      <w:r w:rsidR="004535CE" w:rsidRPr="009C7565">
        <w:rPr>
          <w:rFonts w:ascii="Verdana" w:hAnsi="Verdana" w:cs="Tahoma"/>
          <w:sz w:val="20"/>
          <w:szCs w:val="20"/>
        </w:rPr>
        <w:t>-</w:t>
      </w:r>
      <w:r w:rsidRPr="009C7565">
        <w:rPr>
          <w:rFonts w:ascii="Verdana" w:hAnsi="Verdana" w:cs="Tahoma"/>
          <w:sz w:val="20"/>
          <w:szCs w:val="20"/>
        </w:rPr>
        <w:t xml:space="preserve">year </w:t>
      </w:r>
      <w:r w:rsidR="007914CB" w:rsidRPr="009C7565">
        <w:rPr>
          <w:rFonts w:ascii="Verdana" w:hAnsi="Verdana" w:cs="Tahoma"/>
          <w:sz w:val="20"/>
          <w:szCs w:val="20"/>
        </w:rPr>
        <w:t>S</w:t>
      </w:r>
      <w:r w:rsidRPr="009C7565">
        <w:rPr>
          <w:rFonts w:ascii="Verdana" w:hAnsi="Verdana" w:cs="Tahoma"/>
          <w:sz w:val="20"/>
          <w:szCs w:val="20"/>
        </w:rPr>
        <w:t xml:space="preserve">tart-up </w:t>
      </w:r>
      <w:r w:rsidR="007914CB" w:rsidRPr="009C7565">
        <w:rPr>
          <w:rFonts w:ascii="Verdana" w:hAnsi="Verdana" w:cs="Tahoma"/>
          <w:sz w:val="20"/>
          <w:szCs w:val="20"/>
        </w:rPr>
        <w:t>and Organizational E</w:t>
      </w:r>
      <w:r w:rsidRPr="009C7565">
        <w:rPr>
          <w:rFonts w:ascii="Verdana" w:hAnsi="Verdana" w:cs="Tahoma"/>
          <w:sz w:val="20"/>
          <w:szCs w:val="20"/>
        </w:rPr>
        <w:t xml:space="preserve">xpense </w:t>
      </w:r>
      <w:r w:rsidR="007914CB" w:rsidRPr="009C7565">
        <w:rPr>
          <w:rFonts w:ascii="Verdana" w:hAnsi="Verdana" w:cs="Tahoma"/>
          <w:sz w:val="20"/>
          <w:szCs w:val="20"/>
        </w:rPr>
        <w:t>W</w:t>
      </w:r>
      <w:r w:rsidRPr="009C7565">
        <w:rPr>
          <w:rFonts w:ascii="Verdana" w:hAnsi="Verdana" w:cs="Tahoma"/>
          <w:sz w:val="20"/>
          <w:szCs w:val="20"/>
        </w:rPr>
        <w:t>rite-off</w:t>
      </w:r>
    </w:p>
    <w:p w14:paraId="5D9C76FD" w14:textId="77777777" w:rsidR="00EA6CFC" w:rsidRPr="009C7565" w:rsidRDefault="00EA6CFC" w:rsidP="00EA6CFC">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 xml:space="preserve">Timely </w:t>
      </w:r>
      <w:r w:rsidR="007914CB" w:rsidRPr="009C7565">
        <w:rPr>
          <w:rFonts w:ascii="Verdana" w:hAnsi="Verdana" w:cs="Tahoma"/>
          <w:sz w:val="20"/>
          <w:szCs w:val="20"/>
        </w:rPr>
        <w:t>F</w:t>
      </w:r>
      <w:r w:rsidRPr="009C7565">
        <w:rPr>
          <w:rFonts w:ascii="Verdana" w:hAnsi="Verdana" w:cs="Tahoma"/>
          <w:sz w:val="20"/>
          <w:szCs w:val="20"/>
        </w:rPr>
        <w:t xml:space="preserve">iling </w:t>
      </w:r>
      <w:r w:rsidR="007914CB" w:rsidRPr="009C7565">
        <w:rPr>
          <w:rFonts w:ascii="Verdana" w:hAnsi="Verdana" w:cs="Tahoma"/>
          <w:sz w:val="20"/>
          <w:szCs w:val="20"/>
        </w:rPr>
        <w:t>R</w:t>
      </w:r>
      <w:r w:rsidRPr="009C7565">
        <w:rPr>
          <w:rFonts w:ascii="Verdana" w:hAnsi="Verdana" w:cs="Tahoma"/>
          <w:sz w:val="20"/>
          <w:szCs w:val="20"/>
        </w:rPr>
        <w:t>equirements</w:t>
      </w:r>
    </w:p>
    <w:p w14:paraId="568DBC33" w14:textId="77777777" w:rsidR="00EA6CFC" w:rsidRPr="009C7565" w:rsidRDefault="00EA6CFC" w:rsidP="00EA6CFC">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 xml:space="preserve">Qualifying </w:t>
      </w:r>
      <w:r w:rsidR="00426356" w:rsidRPr="009C7565">
        <w:rPr>
          <w:rFonts w:ascii="Verdana" w:hAnsi="Verdana" w:cs="Tahoma"/>
          <w:sz w:val="20"/>
          <w:szCs w:val="20"/>
        </w:rPr>
        <w:t>S</w:t>
      </w:r>
      <w:r w:rsidRPr="009C7565">
        <w:rPr>
          <w:rFonts w:ascii="Verdana" w:hAnsi="Verdana" w:cs="Tahoma"/>
          <w:sz w:val="20"/>
          <w:szCs w:val="20"/>
        </w:rPr>
        <w:t xml:space="preserve">tart-up </w:t>
      </w:r>
      <w:r w:rsidR="007914CB" w:rsidRPr="009C7565">
        <w:rPr>
          <w:rFonts w:ascii="Verdana" w:hAnsi="Verdana" w:cs="Tahoma"/>
          <w:sz w:val="20"/>
          <w:szCs w:val="20"/>
        </w:rPr>
        <w:t>E</w:t>
      </w:r>
      <w:r w:rsidRPr="009C7565">
        <w:rPr>
          <w:rFonts w:ascii="Verdana" w:hAnsi="Verdana" w:cs="Tahoma"/>
          <w:sz w:val="20"/>
          <w:szCs w:val="20"/>
        </w:rPr>
        <w:t>xpenses</w:t>
      </w:r>
    </w:p>
    <w:p w14:paraId="1679C6C6" w14:textId="77777777" w:rsidR="007914CB" w:rsidRPr="009C7565" w:rsidRDefault="007914CB" w:rsidP="00EA6CFC">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 xml:space="preserve">Trade </w:t>
      </w:r>
      <w:r w:rsidR="00426356" w:rsidRPr="009C7565">
        <w:rPr>
          <w:rFonts w:ascii="Verdana" w:hAnsi="Verdana" w:cs="Tahoma"/>
          <w:sz w:val="20"/>
          <w:szCs w:val="20"/>
        </w:rPr>
        <w:t xml:space="preserve">or </w:t>
      </w:r>
      <w:r w:rsidRPr="009C7565">
        <w:rPr>
          <w:rFonts w:ascii="Verdana" w:hAnsi="Verdana" w:cs="Tahoma"/>
          <w:sz w:val="20"/>
          <w:szCs w:val="20"/>
        </w:rPr>
        <w:t>Business Purchase</w:t>
      </w:r>
    </w:p>
    <w:p w14:paraId="58CB5007" w14:textId="77777777" w:rsidR="007914CB" w:rsidRPr="009C7565" w:rsidRDefault="007914CB" w:rsidP="007914CB">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Qualifying Organizational Expenses</w:t>
      </w:r>
    </w:p>
    <w:p w14:paraId="0AC9FBEE" w14:textId="77777777" w:rsidR="007914CB" w:rsidRPr="009C7565" w:rsidRDefault="007914CB" w:rsidP="007914CB">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Expense Write-off Limitations</w:t>
      </w:r>
    </w:p>
    <w:p w14:paraId="01D295B5" w14:textId="77777777" w:rsidR="007914CB" w:rsidRPr="009C7565" w:rsidRDefault="007914CB" w:rsidP="007914CB">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 xml:space="preserve">How to Make the Election </w:t>
      </w:r>
    </w:p>
    <w:p w14:paraId="06C5F5BB" w14:textId="77777777" w:rsidR="007914CB" w:rsidRPr="009C7565" w:rsidRDefault="007914CB" w:rsidP="00EA6CFC">
      <w:pPr>
        <w:pStyle w:val="NormalWeb"/>
        <w:numPr>
          <w:ilvl w:val="0"/>
          <w:numId w:val="20"/>
        </w:numPr>
        <w:spacing w:before="0" w:beforeAutospacing="0" w:after="0" w:afterAutospacing="0"/>
        <w:rPr>
          <w:rFonts w:ascii="Verdana" w:hAnsi="Verdana" w:cs="Tahoma"/>
          <w:sz w:val="20"/>
          <w:szCs w:val="20"/>
        </w:rPr>
      </w:pPr>
      <w:r w:rsidRPr="009C7565">
        <w:rPr>
          <w:rFonts w:ascii="Verdana" w:hAnsi="Verdana" w:cs="Tahoma"/>
          <w:sz w:val="20"/>
          <w:szCs w:val="20"/>
        </w:rPr>
        <w:t>Other Considerations</w:t>
      </w:r>
    </w:p>
    <w:p w14:paraId="7370CA85" w14:textId="0DAEA287" w:rsidR="006A40FD" w:rsidRPr="009C7565" w:rsidRDefault="00B60383" w:rsidP="000E5B60">
      <w:pPr>
        <w:pStyle w:val="NormalWeb"/>
        <w:spacing w:before="120" w:beforeAutospacing="0" w:after="0" w:afterAutospacing="0"/>
        <w:rPr>
          <w:rFonts w:ascii="Verdana" w:hAnsi="Verdana"/>
          <w:color w:val="000000"/>
          <w:sz w:val="20"/>
          <w:szCs w:val="20"/>
        </w:rPr>
      </w:pPr>
      <w:r w:rsidRPr="009C7565">
        <w:rPr>
          <w:rFonts w:ascii="Verdana" w:hAnsi="Verdana" w:cs="Tahoma"/>
          <w:sz w:val="20"/>
          <w:szCs w:val="20"/>
        </w:rPr>
        <w:t xml:space="preserve">Unfortunately, as a result of </w:t>
      </w:r>
      <w:r w:rsidR="00426356" w:rsidRPr="009C7565">
        <w:rPr>
          <w:rFonts w:ascii="Verdana" w:hAnsi="Verdana" w:cs="Tahoma"/>
          <w:sz w:val="20"/>
          <w:szCs w:val="20"/>
        </w:rPr>
        <w:t xml:space="preserve">the </w:t>
      </w:r>
      <w:r w:rsidRPr="009C7565">
        <w:rPr>
          <w:rFonts w:ascii="Verdana" w:hAnsi="Verdana" w:cs="Tahoma"/>
          <w:sz w:val="20"/>
          <w:szCs w:val="20"/>
        </w:rPr>
        <w:t xml:space="preserve">COVID pandemic many small firms have gone out of business. </w:t>
      </w:r>
      <w:r w:rsidR="00DC6467" w:rsidRPr="009C7565">
        <w:rPr>
          <w:rFonts w:ascii="Verdana" w:hAnsi="Verdana" w:cs="Tahoma"/>
          <w:sz w:val="20"/>
          <w:szCs w:val="20"/>
        </w:rPr>
        <w:t xml:space="preserve">However, </w:t>
      </w:r>
      <w:r w:rsidRPr="009C7565">
        <w:rPr>
          <w:rFonts w:ascii="Verdana" w:hAnsi="Verdana" w:cs="Tahoma"/>
          <w:sz w:val="20"/>
          <w:szCs w:val="20"/>
        </w:rPr>
        <w:t>with the help of vaccines</w:t>
      </w:r>
      <w:r w:rsidR="00DC6467" w:rsidRPr="009C7565">
        <w:rPr>
          <w:rFonts w:ascii="Verdana" w:hAnsi="Verdana" w:cs="Tahoma"/>
          <w:sz w:val="20"/>
          <w:szCs w:val="20"/>
        </w:rPr>
        <w:t xml:space="preserve"> and the waning lethality of the latest versions of the virus</w:t>
      </w:r>
      <w:r w:rsidRPr="009C7565">
        <w:rPr>
          <w:rFonts w:ascii="Verdana" w:hAnsi="Verdana" w:cs="Tahoma"/>
          <w:sz w:val="20"/>
          <w:szCs w:val="20"/>
        </w:rPr>
        <w:t>, new businesses will be opening as the economy returns to near normal.  New business owners</w:t>
      </w:r>
      <w:r w:rsidR="00281994" w:rsidRPr="009C7565">
        <w:rPr>
          <w:rFonts w:ascii="Verdana" w:hAnsi="Verdana" w:cs="Tahoma"/>
          <w:sz w:val="20"/>
          <w:szCs w:val="20"/>
        </w:rPr>
        <w:t>,</w:t>
      </w:r>
      <w:r w:rsidRPr="009C7565">
        <w:rPr>
          <w:rFonts w:ascii="Verdana" w:hAnsi="Verdana" w:cs="Tahoma"/>
          <w:sz w:val="20"/>
          <w:szCs w:val="20"/>
        </w:rPr>
        <w:t xml:space="preserve"> </w:t>
      </w:r>
      <w:r w:rsidR="006A40FD" w:rsidRPr="009C7565">
        <w:rPr>
          <w:rFonts w:ascii="Verdana" w:hAnsi="Verdana" w:cs="Tahoma"/>
          <w:sz w:val="20"/>
          <w:szCs w:val="20"/>
        </w:rPr>
        <w:t>especially those operating small businesses</w:t>
      </w:r>
      <w:r w:rsidR="00281994" w:rsidRPr="009C7565">
        <w:rPr>
          <w:rFonts w:ascii="Verdana" w:hAnsi="Verdana" w:cs="Tahoma"/>
          <w:sz w:val="20"/>
          <w:szCs w:val="20"/>
        </w:rPr>
        <w:t xml:space="preserve">, </w:t>
      </w:r>
      <w:r w:rsidR="006A40FD" w:rsidRPr="009C7565">
        <w:rPr>
          <w:rFonts w:ascii="Verdana" w:hAnsi="Verdana" w:cs="Tahoma"/>
          <w:sz w:val="20"/>
          <w:szCs w:val="20"/>
        </w:rPr>
        <w:t xml:space="preserve">may be helped by a tax </w:t>
      </w:r>
      <w:r w:rsidR="00BE49D6" w:rsidRPr="009C7565">
        <w:rPr>
          <w:rFonts w:ascii="Verdana" w:hAnsi="Verdana" w:cs="Tahoma"/>
          <w:sz w:val="20"/>
          <w:szCs w:val="20"/>
        </w:rPr>
        <w:t xml:space="preserve">provision </w:t>
      </w:r>
      <w:r w:rsidR="006A40FD" w:rsidRPr="009C7565">
        <w:rPr>
          <w:rFonts w:ascii="Verdana" w:hAnsi="Verdana" w:cs="Tahoma"/>
          <w:sz w:val="20"/>
          <w:szCs w:val="20"/>
        </w:rPr>
        <w:t xml:space="preserve">allowing them to deduct up to $5,000 of the start-up expenses </w:t>
      </w:r>
      <w:r w:rsidRPr="009C7565">
        <w:rPr>
          <w:rFonts w:ascii="Verdana" w:hAnsi="Verdana" w:cs="Tahoma"/>
          <w:sz w:val="20"/>
          <w:szCs w:val="20"/>
        </w:rPr>
        <w:t xml:space="preserve">and $5,000 </w:t>
      </w:r>
      <w:r w:rsidR="00426356" w:rsidRPr="009C7565">
        <w:rPr>
          <w:rFonts w:ascii="Verdana" w:hAnsi="Verdana" w:cs="Tahoma"/>
          <w:sz w:val="20"/>
          <w:szCs w:val="20"/>
        </w:rPr>
        <w:t xml:space="preserve">of </w:t>
      </w:r>
      <w:r w:rsidRPr="009C7565">
        <w:rPr>
          <w:rFonts w:ascii="Verdana" w:hAnsi="Verdana" w:cs="Tahoma"/>
          <w:sz w:val="20"/>
          <w:szCs w:val="20"/>
        </w:rPr>
        <w:t xml:space="preserve">organizational costs </w:t>
      </w:r>
      <w:r w:rsidR="006A40FD" w:rsidRPr="009C7565">
        <w:rPr>
          <w:rFonts w:ascii="Verdana" w:hAnsi="Verdana" w:cs="Tahoma"/>
          <w:sz w:val="20"/>
          <w:szCs w:val="20"/>
        </w:rPr>
        <w:t>in the first year of the business’</w:t>
      </w:r>
      <w:r w:rsidR="004535CE" w:rsidRPr="009C7565">
        <w:rPr>
          <w:rFonts w:ascii="Verdana" w:hAnsi="Verdana" w:cs="Tahoma"/>
          <w:sz w:val="20"/>
          <w:szCs w:val="20"/>
        </w:rPr>
        <w:t>s</w:t>
      </w:r>
      <w:r w:rsidR="006A40FD" w:rsidRPr="009C7565">
        <w:rPr>
          <w:rFonts w:ascii="Verdana" w:hAnsi="Verdana" w:cs="Tahoma"/>
          <w:sz w:val="20"/>
          <w:szCs w:val="20"/>
        </w:rPr>
        <w:t xml:space="preserve"> operation. </w:t>
      </w:r>
      <w:r w:rsidR="00426356" w:rsidRPr="009C7565">
        <w:rPr>
          <w:rFonts w:ascii="Verdana" w:hAnsi="Verdana" w:cs="Tahoma"/>
          <w:sz w:val="20"/>
          <w:szCs w:val="20"/>
        </w:rPr>
        <w:t>These type</w:t>
      </w:r>
      <w:r w:rsidR="00DC6467" w:rsidRPr="009C7565">
        <w:rPr>
          <w:rFonts w:ascii="Verdana" w:hAnsi="Verdana" w:cs="Tahoma"/>
          <w:sz w:val="20"/>
          <w:szCs w:val="20"/>
        </w:rPr>
        <w:t>s</w:t>
      </w:r>
      <w:r w:rsidR="00426356" w:rsidRPr="009C7565">
        <w:rPr>
          <w:rFonts w:ascii="Verdana" w:hAnsi="Verdana" w:cs="Tahoma"/>
          <w:sz w:val="20"/>
          <w:szCs w:val="20"/>
        </w:rPr>
        <w:t xml:space="preserve"> of expenses </w:t>
      </w:r>
      <w:r w:rsidR="00BE49D6" w:rsidRPr="009C7565">
        <w:rPr>
          <w:rFonts w:ascii="Verdana" w:hAnsi="Verdana"/>
          <w:color w:val="000000"/>
          <w:sz w:val="20"/>
          <w:szCs w:val="20"/>
        </w:rPr>
        <w:t xml:space="preserve">not deductible in the first year of the business must be amortized </w:t>
      </w:r>
      <w:r w:rsidR="00DC6467" w:rsidRPr="009C7565">
        <w:rPr>
          <w:rFonts w:ascii="Verdana" w:hAnsi="Verdana"/>
          <w:color w:val="000000"/>
          <w:sz w:val="20"/>
          <w:szCs w:val="20"/>
        </w:rPr>
        <w:t xml:space="preserve">(deducted) </w:t>
      </w:r>
      <w:r w:rsidR="00BE49D6" w:rsidRPr="009C7565">
        <w:rPr>
          <w:rFonts w:ascii="Verdana" w:hAnsi="Verdana"/>
          <w:color w:val="000000"/>
          <w:sz w:val="20"/>
          <w:szCs w:val="20"/>
        </w:rPr>
        <w:t>over 15 years. If a taxpayer who incurred start-up expenses does not make the election, the start-up costs must be capitalized, meaning that the expenses can only be recovered upon the termination or disposition of the business.</w:t>
      </w:r>
    </w:p>
    <w:p w14:paraId="49163B01" w14:textId="77777777" w:rsidR="006A40FD" w:rsidRPr="009C7565" w:rsidRDefault="006A40FD" w:rsidP="000E5B60">
      <w:pPr>
        <w:pStyle w:val="NormalWeb"/>
        <w:spacing w:before="120" w:beforeAutospacing="0" w:after="0" w:afterAutospacing="0"/>
        <w:rPr>
          <w:rFonts w:ascii="Verdana" w:hAnsi="Verdana" w:cs="Verdana"/>
          <w:color w:val="000000"/>
          <w:sz w:val="19"/>
          <w:szCs w:val="19"/>
        </w:rPr>
      </w:pPr>
      <w:r w:rsidRPr="009C7565">
        <w:rPr>
          <w:rFonts w:ascii="Verdana" w:hAnsi="Verdana" w:cs="Verdana"/>
          <w:color w:val="000000"/>
          <w:sz w:val="19"/>
          <w:szCs w:val="19"/>
        </w:rPr>
        <w:t xml:space="preserve">Generally, start-up expenses include all expenses incurred to investigate the formation or acquisition of a business or to engage in a for-profit activity in anticipation of that activity becoming an active business. To be eligible for the election, an expense must </w:t>
      </w:r>
      <w:r w:rsidR="004535CE" w:rsidRPr="009C7565">
        <w:rPr>
          <w:rFonts w:ascii="Verdana" w:hAnsi="Verdana" w:cs="Verdana"/>
          <w:color w:val="000000"/>
          <w:sz w:val="19"/>
          <w:szCs w:val="19"/>
        </w:rPr>
        <w:t xml:space="preserve">also </w:t>
      </w:r>
      <w:r w:rsidRPr="009C7565">
        <w:rPr>
          <w:rFonts w:ascii="Verdana" w:hAnsi="Verdana" w:cs="Verdana"/>
          <w:color w:val="000000"/>
          <w:sz w:val="19"/>
          <w:szCs w:val="19"/>
        </w:rPr>
        <w:t xml:space="preserve">be one that would be deductible if it were incurred after the business actually began. An </w:t>
      </w:r>
      <w:r w:rsidR="0045431A" w:rsidRPr="009C7565">
        <w:rPr>
          <w:rFonts w:ascii="Verdana" w:hAnsi="Verdana" w:cs="Verdana"/>
          <w:color w:val="000000"/>
          <w:sz w:val="19"/>
          <w:szCs w:val="19"/>
        </w:rPr>
        <w:t>example of</w:t>
      </w:r>
      <w:r w:rsidRPr="009C7565">
        <w:rPr>
          <w:rFonts w:ascii="Verdana" w:hAnsi="Verdana" w:cs="Verdana"/>
          <w:color w:val="000000"/>
          <w:sz w:val="19"/>
          <w:szCs w:val="19"/>
        </w:rPr>
        <w:t xml:space="preserve"> a start-up expense is the cost of analyzing the potential market for a new product. </w:t>
      </w:r>
    </w:p>
    <w:p w14:paraId="74E2793D" w14:textId="77777777" w:rsidR="006A40FD" w:rsidRPr="009C7565" w:rsidRDefault="006A40FD" w:rsidP="000E5B60">
      <w:pPr>
        <w:pStyle w:val="Style1"/>
        <w:numPr>
          <w:ilvl w:val="0"/>
          <w:numId w:val="22"/>
        </w:numPr>
        <w:spacing w:before="120"/>
        <w:ind w:left="360"/>
        <w:jc w:val="left"/>
        <w:rPr>
          <w:rFonts w:ascii="Verdana" w:hAnsi="Verdana" w:cs="Tahoma"/>
          <w:sz w:val="20"/>
        </w:rPr>
      </w:pPr>
      <w:r w:rsidRPr="009C7565">
        <w:rPr>
          <w:rFonts w:ascii="Verdana" w:hAnsi="Verdana" w:cs="Tahoma"/>
          <w:bCs/>
          <w:i/>
          <w:iCs/>
          <w:sz w:val="20"/>
          <w:u w:val="single"/>
        </w:rPr>
        <w:t>Qualifying Start-Up Costs</w:t>
      </w:r>
      <w:r w:rsidRPr="009C7565">
        <w:rPr>
          <w:rFonts w:ascii="Verdana" w:hAnsi="Verdana" w:cs="Tahoma"/>
          <w:sz w:val="20"/>
        </w:rPr>
        <w:t xml:space="preserve"> – A qualifying start-up cost is one that would be deductible if it were paid or incurred to operate an existing active business in the same field as the new business</w:t>
      </w:r>
      <w:r w:rsidR="00426356" w:rsidRPr="009C7565">
        <w:rPr>
          <w:rFonts w:ascii="Verdana" w:hAnsi="Verdana" w:cs="Tahoma"/>
          <w:sz w:val="20"/>
        </w:rPr>
        <w:t>,</w:t>
      </w:r>
      <w:r w:rsidRPr="009C7565">
        <w:rPr>
          <w:rFonts w:ascii="Verdana" w:hAnsi="Verdana" w:cs="Tahoma"/>
          <w:sz w:val="20"/>
        </w:rPr>
        <w:t xml:space="preserve"> and the cost is paid or incurred before the day the active trade or business begins. Not includible are taxes, interest</w:t>
      </w:r>
      <w:r w:rsidR="000201F6" w:rsidRPr="009C7565">
        <w:rPr>
          <w:rFonts w:ascii="Verdana" w:hAnsi="Verdana" w:cs="Tahoma"/>
          <w:sz w:val="20"/>
        </w:rPr>
        <w:t>,</w:t>
      </w:r>
      <w:r w:rsidRPr="009C7565">
        <w:rPr>
          <w:rFonts w:ascii="Verdana" w:hAnsi="Verdana" w:cs="Tahoma"/>
          <w:sz w:val="20"/>
        </w:rPr>
        <w:t xml:space="preserve"> </w:t>
      </w:r>
      <w:r w:rsidR="000201F6" w:rsidRPr="009C7565">
        <w:rPr>
          <w:rFonts w:ascii="Verdana" w:hAnsi="Verdana" w:cs="Tahoma"/>
          <w:sz w:val="20"/>
        </w:rPr>
        <w:t xml:space="preserve">and </w:t>
      </w:r>
      <w:r w:rsidRPr="009C7565">
        <w:rPr>
          <w:rFonts w:ascii="Verdana" w:hAnsi="Verdana" w:cs="Tahoma"/>
          <w:sz w:val="20"/>
        </w:rPr>
        <w:t>research and experimental costs.</w:t>
      </w:r>
      <w:r w:rsidR="004535CE" w:rsidRPr="009C7565">
        <w:rPr>
          <w:rFonts w:ascii="Verdana" w:hAnsi="Verdana" w:cs="Tahoma"/>
          <w:sz w:val="20"/>
        </w:rPr>
        <w:t xml:space="preserve"> </w:t>
      </w:r>
      <w:r w:rsidRPr="009C7565">
        <w:rPr>
          <w:rFonts w:ascii="Verdana" w:hAnsi="Verdana" w:cs="Tahoma"/>
          <w:sz w:val="20"/>
        </w:rPr>
        <w:t>Examples of qualified start-up costs include:</w:t>
      </w:r>
    </w:p>
    <w:p w14:paraId="2F521E3C" w14:textId="77777777" w:rsidR="006A40FD" w:rsidRPr="009C7565" w:rsidRDefault="006A40FD" w:rsidP="000E5B60">
      <w:pPr>
        <w:pStyle w:val="Style1"/>
        <w:numPr>
          <w:ilvl w:val="0"/>
          <w:numId w:val="24"/>
        </w:numPr>
        <w:spacing w:before="60"/>
        <w:jc w:val="left"/>
        <w:rPr>
          <w:rFonts w:ascii="Verdana" w:hAnsi="Verdana" w:cs="Tahoma"/>
          <w:sz w:val="20"/>
        </w:rPr>
      </w:pPr>
      <w:r w:rsidRPr="009C7565">
        <w:rPr>
          <w:rFonts w:ascii="Verdana" w:hAnsi="Verdana" w:cs="Tahoma"/>
          <w:sz w:val="20"/>
        </w:rPr>
        <w:t>Surveys/analyses of potential markets, labor supply, products, transportation facilities, etc.;</w:t>
      </w:r>
    </w:p>
    <w:p w14:paraId="7C5EAE0C" w14:textId="77777777" w:rsidR="006A40FD" w:rsidRPr="009C7565" w:rsidRDefault="006A40FD" w:rsidP="000E5B60">
      <w:pPr>
        <w:pStyle w:val="Style1"/>
        <w:numPr>
          <w:ilvl w:val="0"/>
          <w:numId w:val="24"/>
        </w:numPr>
        <w:spacing w:before="60"/>
        <w:jc w:val="left"/>
        <w:rPr>
          <w:rFonts w:ascii="Verdana" w:hAnsi="Verdana" w:cs="Tahoma"/>
          <w:sz w:val="20"/>
        </w:rPr>
      </w:pPr>
      <w:r w:rsidRPr="009C7565">
        <w:rPr>
          <w:rFonts w:ascii="Verdana" w:hAnsi="Verdana" w:cs="Tahoma"/>
          <w:sz w:val="20"/>
        </w:rPr>
        <w:t>Wages paid to employees and their instructors while they are being trained;</w:t>
      </w:r>
    </w:p>
    <w:p w14:paraId="574802C9" w14:textId="77777777" w:rsidR="006A40FD" w:rsidRPr="009C7565" w:rsidRDefault="006A40FD" w:rsidP="000E5B60">
      <w:pPr>
        <w:pStyle w:val="Style1"/>
        <w:numPr>
          <w:ilvl w:val="0"/>
          <w:numId w:val="24"/>
        </w:numPr>
        <w:spacing w:before="60"/>
        <w:jc w:val="left"/>
        <w:rPr>
          <w:rFonts w:ascii="Verdana" w:hAnsi="Verdana" w:cs="Tahoma"/>
          <w:sz w:val="20"/>
        </w:rPr>
      </w:pPr>
      <w:r w:rsidRPr="009C7565">
        <w:rPr>
          <w:rFonts w:ascii="Verdana" w:hAnsi="Verdana" w:cs="Tahoma"/>
          <w:sz w:val="20"/>
        </w:rPr>
        <w:t>Advertisements related to opening the business;</w:t>
      </w:r>
    </w:p>
    <w:p w14:paraId="009FBFC0" w14:textId="77777777" w:rsidR="006A40FD" w:rsidRPr="009C7565" w:rsidRDefault="006A40FD" w:rsidP="000E5B60">
      <w:pPr>
        <w:pStyle w:val="Style1"/>
        <w:numPr>
          <w:ilvl w:val="0"/>
          <w:numId w:val="24"/>
        </w:numPr>
        <w:spacing w:before="60"/>
        <w:jc w:val="left"/>
        <w:rPr>
          <w:rFonts w:ascii="Verdana" w:hAnsi="Verdana" w:cs="Tahoma"/>
          <w:sz w:val="20"/>
        </w:rPr>
      </w:pPr>
      <w:r w:rsidRPr="009C7565">
        <w:rPr>
          <w:rFonts w:ascii="Verdana" w:hAnsi="Verdana" w:cs="Tahoma"/>
          <w:sz w:val="20"/>
        </w:rPr>
        <w:t>Fees and salaries paid to consultants or others for professional services; and</w:t>
      </w:r>
    </w:p>
    <w:p w14:paraId="0B8BDD5A" w14:textId="77777777" w:rsidR="006A40FD" w:rsidRPr="009C7565" w:rsidRDefault="006A40FD" w:rsidP="000E5B60">
      <w:pPr>
        <w:pStyle w:val="Style1"/>
        <w:numPr>
          <w:ilvl w:val="0"/>
          <w:numId w:val="24"/>
        </w:numPr>
        <w:spacing w:before="60"/>
        <w:jc w:val="left"/>
        <w:rPr>
          <w:rFonts w:ascii="Verdana" w:hAnsi="Verdana" w:cs="Tahoma"/>
          <w:sz w:val="20"/>
        </w:rPr>
      </w:pPr>
      <w:r w:rsidRPr="009C7565">
        <w:rPr>
          <w:rFonts w:ascii="Verdana" w:hAnsi="Verdana" w:cs="Tahoma"/>
          <w:sz w:val="20"/>
        </w:rPr>
        <w:t>Travel and other related costs to secure prospective customers, distributors, and suppliers.</w:t>
      </w:r>
    </w:p>
    <w:p w14:paraId="0FB78CCF" w14:textId="77777777" w:rsidR="000E5B60" w:rsidRPr="009C7565" w:rsidRDefault="000E5B60" w:rsidP="000E5B60">
      <w:pPr>
        <w:pStyle w:val="Style1"/>
        <w:spacing w:before="120"/>
        <w:ind w:left="360"/>
        <w:jc w:val="left"/>
        <w:rPr>
          <w:rFonts w:ascii="Verdana" w:hAnsi="Verdana" w:cs="Tahoma"/>
          <w:sz w:val="20"/>
        </w:rPr>
      </w:pPr>
      <w:r w:rsidRPr="009C7565">
        <w:rPr>
          <w:rFonts w:ascii="Verdana" w:hAnsi="Verdana" w:cs="Tahoma"/>
          <w:sz w:val="20"/>
        </w:rPr>
        <w:t>For the purchase of an active trade or business, only investigative costs incurred while conducting a general search for</w:t>
      </w:r>
      <w:r w:rsidR="00426356" w:rsidRPr="009C7565">
        <w:rPr>
          <w:rFonts w:ascii="Verdana" w:hAnsi="Verdana" w:cs="Tahoma"/>
          <w:sz w:val="20"/>
        </w:rPr>
        <w:t>,</w:t>
      </w:r>
      <w:r w:rsidRPr="009C7565">
        <w:rPr>
          <w:rFonts w:ascii="Verdana" w:hAnsi="Verdana" w:cs="Tahoma"/>
          <w:sz w:val="20"/>
        </w:rPr>
        <w:t xml:space="preserve"> or preliminary investigation of</w:t>
      </w:r>
      <w:r w:rsidR="00426356" w:rsidRPr="009C7565">
        <w:rPr>
          <w:rFonts w:ascii="Verdana" w:hAnsi="Verdana" w:cs="Tahoma"/>
          <w:sz w:val="20"/>
        </w:rPr>
        <w:t>,</w:t>
      </w:r>
      <w:r w:rsidRPr="009C7565">
        <w:rPr>
          <w:rFonts w:ascii="Verdana" w:hAnsi="Verdana" w:cs="Tahoma"/>
          <w:sz w:val="20"/>
        </w:rPr>
        <w:t xml:space="preserve"> the business (i.e., costs that help the taxpayer decide whether to purchase a new business and which one to purchase) are qualified start-up costs. Costs incurred </w:t>
      </w:r>
      <w:r w:rsidRPr="009C7565">
        <w:rPr>
          <w:rFonts w:ascii="Verdana" w:hAnsi="Verdana" w:cs="Tahoma"/>
          <w:sz w:val="20"/>
        </w:rPr>
        <w:lastRenderedPageBreak/>
        <w:t>attempting to buy a specific business are capital expenses that aren’t treated as start-up costs.</w:t>
      </w:r>
    </w:p>
    <w:p w14:paraId="0FA18847" w14:textId="77777777" w:rsidR="00BE49D6" w:rsidRPr="009C7565" w:rsidRDefault="00BE49D6" w:rsidP="000E5B60">
      <w:pPr>
        <w:pStyle w:val="Style1"/>
        <w:numPr>
          <w:ilvl w:val="0"/>
          <w:numId w:val="27"/>
        </w:numPr>
        <w:spacing w:before="120"/>
        <w:ind w:left="360"/>
        <w:jc w:val="left"/>
        <w:rPr>
          <w:rFonts w:ascii="Verdana" w:hAnsi="Verdana" w:cs="Tahoma"/>
          <w:sz w:val="20"/>
        </w:rPr>
      </w:pPr>
      <w:r w:rsidRPr="009C7565">
        <w:rPr>
          <w:rFonts w:ascii="Verdana" w:hAnsi="Verdana" w:cs="Tahoma"/>
          <w:i/>
          <w:iCs/>
          <w:sz w:val="20"/>
          <w:u w:val="single"/>
        </w:rPr>
        <w:t>Qualifying Organization</w:t>
      </w:r>
      <w:r w:rsidR="000E5B60" w:rsidRPr="009C7565">
        <w:rPr>
          <w:rFonts w:ascii="Verdana" w:hAnsi="Verdana" w:cs="Tahoma"/>
          <w:i/>
          <w:iCs/>
          <w:sz w:val="20"/>
          <w:u w:val="single"/>
        </w:rPr>
        <w:t>al</w:t>
      </w:r>
      <w:r w:rsidRPr="009C7565">
        <w:rPr>
          <w:rFonts w:ascii="Verdana" w:hAnsi="Verdana" w:cs="Tahoma"/>
          <w:i/>
          <w:iCs/>
          <w:sz w:val="20"/>
          <w:u w:val="single"/>
        </w:rPr>
        <w:t xml:space="preserve"> Cost</w:t>
      </w:r>
      <w:r w:rsidR="000E5B60" w:rsidRPr="009C7565">
        <w:rPr>
          <w:rFonts w:ascii="Verdana" w:hAnsi="Verdana" w:cs="Tahoma"/>
          <w:sz w:val="20"/>
        </w:rPr>
        <w:t xml:space="preserve"> - </w:t>
      </w:r>
      <w:r w:rsidR="000E5B60" w:rsidRPr="009C7565">
        <w:rPr>
          <w:rFonts w:ascii="Arial" w:hAnsi="Arial" w:cs="Arial"/>
          <w:color w:val="252525"/>
          <w:sz w:val="23"/>
          <w:szCs w:val="23"/>
        </w:rPr>
        <w:t xml:space="preserve">include fees for legal services, </w:t>
      </w:r>
      <w:r w:rsidR="002D09A5" w:rsidRPr="009C7565">
        <w:rPr>
          <w:rFonts w:ascii="Arial" w:hAnsi="Arial" w:cs="Arial"/>
          <w:color w:val="252525"/>
          <w:sz w:val="23"/>
          <w:szCs w:val="23"/>
        </w:rPr>
        <w:t xml:space="preserve">such as for </w:t>
      </w:r>
      <w:r w:rsidR="000E5B60" w:rsidRPr="009C7565">
        <w:rPr>
          <w:rFonts w:ascii="Arial" w:hAnsi="Arial" w:cs="Arial"/>
          <w:color w:val="252525"/>
          <w:sz w:val="23"/>
          <w:szCs w:val="23"/>
        </w:rPr>
        <w:t>drafting LLC documents, partnership agreements,</w:t>
      </w:r>
      <w:r w:rsidR="002D09A5" w:rsidRPr="009C7565">
        <w:rPr>
          <w:rFonts w:ascii="Arial" w:hAnsi="Arial" w:cs="Arial"/>
          <w:color w:val="252525"/>
          <w:sz w:val="23"/>
          <w:szCs w:val="23"/>
        </w:rPr>
        <w:t xml:space="preserve"> corporate charter and by-laws;</w:t>
      </w:r>
      <w:r w:rsidR="000E5B60" w:rsidRPr="009C7565">
        <w:rPr>
          <w:rFonts w:ascii="Arial" w:hAnsi="Arial" w:cs="Arial"/>
          <w:color w:val="252525"/>
          <w:sz w:val="23"/>
          <w:szCs w:val="23"/>
        </w:rPr>
        <w:t xml:space="preserve"> incorporation fees</w:t>
      </w:r>
      <w:r w:rsidR="002D09A5" w:rsidRPr="009C7565">
        <w:rPr>
          <w:rFonts w:ascii="Arial" w:hAnsi="Arial" w:cs="Arial"/>
          <w:color w:val="252525"/>
          <w:sz w:val="23"/>
          <w:szCs w:val="23"/>
        </w:rPr>
        <w:t>;</w:t>
      </w:r>
      <w:r w:rsidR="000E5B60" w:rsidRPr="009C7565">
        <w:rPr>
          <w:rFonts w:ascii="Arial" w:hAnsi="Arial" w:cs="Arial"/>
          <w:color w:val="252525"/>
          <w:sz w:val="23"/>
          <w:szCs w:val="23"/>
        </w:rPr>
        <w:t xml:space="preserve"> temporary directors' fees</w:t>
      </w:r>
      <w:r w:rsidR="002D09A5" w:rsidRPr="009C7565">
        <w:rPr>
          <w:rFonts w:ascii="Arial" w:hAnsi="Arial" w:cs="Arial"/>
          <w:color w:val="252525"/>
          <w:sz w:val="23"/>
          <w:szCs w:val="23"/>
        </w:rPr>
        <w:t>;</w:t>
      </w:r>
      <w:r w:rsidR="000E5B60" w:rsidRPr="009C7565">
        <w:rPr>
          <w:rFonts w:ascii="Arial" w:hAnsi="Arial" w:cs="Arial"/>
          <w:color w:val="252525"/>
          <w:sz w:val="23"/>
          <w:szCs w:val="23"/>
        </w:rPr>
        <w:t xml:space="preserve"> and organizational </w:t>
      </w:r>
      <w:bookmarkStart w:id="1" w:name="lastkeyword"/>
      <w:bookmarkEnd w:id="1"/>
      <w:r w:rsidR="000E5B60" w:rsidRPr="009C7565">
        <w:rPr>
          <w:rFonts w:ascii="Arial" w:hAnsi="Arial" w:cs="Arial"/>
          <w:color w:val="252525"/>
          <w:sz w:val="23"/>
          <w:szCs w:val="23"/>
        </w:rPr>
        <w:t>meeting costs.</w:t>
      </w:r>
    </w:p>
    <w:bookmarkEnd w:id="0"/>
    <w:p w14:paraId="42F5C7EC" w14:textId="77777777" w:rsidR="003D5549" w:rsidRPr="009C7565" w:rsidRDefault="003D5549" w:rsidP="003D5549">
      <w:pPr>
        <w:rPr>
          <w:rFonts w:cs="Arial"/>
        </w:rPr>
      </w:pPr>
    </w:p>
    <w:p w14:paraId="6A038CCD" w14:textId="77777777" w:rsidR="00BF2CFB" w:rsidRPr="009C7565" w:rsidRDefault="00D265B6" w:rsidP="00BF2CFB">
      <w:pPr>
        <w:pStyle w:val="Style1"/>
        <w:numPr>
          <w:ilvl w:val="0"/>
          <w:numId w:val="27"/>
        </w:numPr>
        <w:ind w:left="360"/>
        <w:jc w:val="left"/>
        <w:rPr>
          <w:rFonts w:ascii="Verdana" w:hAnsi="Verdana"/>
          <w:sz w:val="20"/>
        </w:rPr>
      </w:pPr>
      <w:r w:rsidRPr="009C7565">
        <w:rPr>
          <w:rFonts w:ascii="Verdana" w:hAnsi="Verdana"/>
          <w:i/>
          <w:iCs/>
          <w:sz w:val="20"/>
          <w:u w:val="single"/>
        </w:rPr>
        <w:t>Phaseout</w:t>
      </w:r>
      <w:r w:rsidR="00827A31" w:rsidRPr="009C7565">
        <w:rPr>
          <w:rFonts w:ascii="Verdana" w:hAnsi="Verdana"/>
          <w:sz w:val="20"/>
        </w:rPr>
        <w:t xml:space="preserve"> -</w:t>
      </w:r>
      <w:r w:rsidRPr="009C7565">
        <w:rPr>
          <w:rFonts w:ascii="Verdana" w:hAnsi="Verdana"/>
          <w:sz w:val="20"/>
        </w:rPr>
        <w:t xml:space="preserve"> </w:t>
      </w:r>
      <w:r w:rsidR="000E5B60" w:rsidRPr="009C7565">
        <w:rPr>
          <w:rFonts w:ascii="Verdana" w:hAnsi="Verdana"/>
          <w:sz w:val="20"/>
        </w:rPr>
        <w:t xml:space="preserve">As with most tax benefits, there is always a catch. Congress put a cap on the amount of expenses that can be claimed as a deduction under this special election. Here’s how to determine the deduction: If the expenses are $50,000 or less, you can elect to deduct up to $5,000 in the first year, plus you can amortize the balance over 180 months. </w:t>
      </w:r>
    </w:p>
    <w:p w14:paraId="253D7163" w14:textId="77777777" w:rsidR="00BF2CFB" w:rsidRPr="009C7565" w:rsidRDefault="00BF2CFB" w:rsidP="00BF2CFB">
      <w:pPr>
        <w:pStyle w:val="ListParagraph"/>
      </w:pPr>
    </w:p>
    <w:p w14:paraId="41339F6F" w14:textId="77777777" w:rsidR="00BF2CFB" w:rsidRPr="009C7565" w:rsidRDefault="00BF2CFB" w:rsidP="003A307C">
      <w:pPr>
        <w:pStyle w:val="Style1"/>
        <w:shd w:val="clear" w:color="auto" w:fill="E2EFD9"/>
        <w:ind w:left="360"/>
        <w:jc w:val="left"/>
        <w:rPr>
          <w:rFonts w:ascii="Verdana" w:hAnsi="Verdana"/>
          <w:sz w:val="20"/>
        </w:rPr>
      </w:pPr>
      <w:r w:rsidRPr="009C7565">
        <w:rPr>
          <w:rFonts w:ascii="Verdana" w:hAnsi="Verdana"/>
          <w:sz w:val="20"/>
        </w:rPr>
        <w:t>Example: Eligible start-up expenses are $6,</w:t>
      </w:r>
      <w:r w:rsidR="000A6CA9" w:rsidRPr="009C7565">
        <w:rPr>
          <w:rFonts w:ascii="Verdana" w:hAnsi="Verdana"/>
          <w:sz w:val="20"/>
        </w:rPr>
        <w:t>000</w:t>
      </w:r>
      <w:r w:rsidRPr="009C7565">
        <w:rPr>
          <w:rFonts w:ascii="Verdana" w:hAnsi="Verdana"/>
          <w:sz w:val="20"/>
        </w:rPr>
        <w:t xml:space="preserve"> and the business began on July 1, 2022. </w:t>
      </w:r>
      <w:r w:rsidR="000A6CA9" w:rsidRPr="009C7565">
        <w:rPr>
          <w:rFonts w:ascii="Verdana" w:hAnsi="Verdana"/>
          <w:sz w:val="20"/>
        </w:rPr>
        <w:t>O</w:t>
      </w:r>
      <w:r w:rsidRPr="009C7565">
        <w:rPr>
          <w:rFonts w:ascii="Verdana" w:hAnsi="Verdana"/>
          <w:sz w:val="20"/>
        </w:rPr>
        <w:t>n the business’s 2022 tax return</w:t>
      </w:r>
      <w:r w:rsidR="000A6CA9" w:rsidRPr="009C7565">
        <w:rPr>
          <w:rFonts w:ascii="Verdana" w:hAnsi="Verdana"/>
          <w:sz w:val="20"/>
        </w:rPr>
        <w:t>, the deduction for start-up expenses will be $5,033 ($5,000 + ($1,000/180 x 6</w:t>
      </w:r>
      <w:r w:rsidR="00460E4D" w:rsidRPr="009C7565">
        <w:rPr>
          <w:rFonts w:ascii="Verdana" w:hAnsi="Verdana"/>
          <w:sz w:val="20"/>
        </w:rPr>
        <w:t xml:space="preserve"> months</w:t>
      </w:r>
      <w:r w:rsidR="000A6CA9" w:rsidRPr="009C7565">
        <w:rPr>
          <w:rFonts w:ascii="Verdana" w:hAnsi="Verdana"/>
          <w:sz w:val="20"/>
        </w:rPr>
        <w:t>)).</w:t>
      </w:r>
    </w:p>
    <w:p w14:paraId="74782F33" w14:textId="77777777" w:rsidR="00BF2CFB" w:rsidRPr="009C7565" w:rsidRDefault="00BF2CFB" w:rsidP="00BF2CFB">
      <w:pPr>
        <w:pStyle w:val="ListParagraph"/>
      </w:pPr>
    </w:p>
    <w:p w14:paraId="41B7BB7A" w14:textId="77777777" w:rsidR="00827A31" w:rsidRPr="009C7565" w:rsidRDefault="000E5B60" w:rsidP="00460E4D">
      <w:pPr>
        <w:pStyle w:val="Style1"/>
        <w:ind w:left="360"/>
        <w:jc w:val="left"/>
        <w:rPr>
          <w:rFonts w:ascii="Verdana" w:hAnsi="Verdana"/>
          <w:sz w:val="20"/>
        </w:rPr>
      </w:pPr>
      <w:r w:rsidRPr="009C7565">
        <w:rPr>
          <w:rFonts w:ascii="Verdana" w:hAnsi="Verdana"/>
          <w:sz w:val="20"/>
        </w:rPr>
        <w:t>If the expenses are more than $50,000, then the $5,000 first-year write-off is reduced dollar-for-dollar for every dollar in start-up expenses that exceed</w:t>
      </w:r>
      <w:r w:rsidR="002D09A5" w:rsidRPr="009C7565">
        <w:rPr>
          <w:rFonts w:ascii="Verdana" w:hAnsi="Verdana"/>
          <w:sz w:val="20"/>
        </w:rPr>
        <w:t>s</w:t>
      </w:r>
      <w:r w:rsidRPr="009C7565">
        <w:rPr>
          <w:rFonts w:ascii="Verdana" w:hAnsi="Verdana"/>
          <w:sz w:val="20"/>
        </w:rPr>
        <w:t xml:space="preserve"> $50,000. </w:t>
      </w:r>
    </w:p>
    <w:p w14:paraId="40A00C37" w14:textId="77777777" w:rsidR="00827A31" w:rsidRPr="009C7565" w:rsidRDefault="00827A31" w:rsidP="00827A31">
      <w:pPr>
        <w:pStyle w:val="ListParagraph"/>
      </w:pPr>
    </w:p>
    <w:p w14:paraId="57016C1A" w14:textId="77777777" w:rsidR="000E5B60" w:rsidRPr="009C7565" w:rsidRDefault="000E5B60" w:rsidP="00A430A5">
      <w:pPr>
        <w:pStyle w:val="Style1"/>
        <w:shd w:val="clear" w:color="auto" w:fill="E2EFD9"/>
        <w:ind w:left="720" w:right="360"/>
        <w:jc w:val="left"/>
        <w:rPr>
          <w:rFonts w:ascii="Verdana" w:hAnsi="Verdana"/>
          <w:sz w:val="20"/>
        </w:rPr>
      </w:pPr>
      <w:r w:rsidRPr="009C7565">
        <w:rPr>
          <w:rFonts w:ascii="Verdana" w:hAnsi="Verdana"/>
          <w:sz w:val="20"/>
        </w:rPr>
        <w:t>For example, if start-up costs were $54,000, the first-year write-off would be limited to $1,000 ($5,000 – ($54,000 – $50,000))</w:t>
      </w:r>
      <w:r w:rsidR="00460E4D" w:rsidRPr="009C7565">
        <w:rPr>
          <w:rFonts w:ascii="Verdana" w:hAnsi="Verdana"/>
          <w:sz w:val="20"/>
        </w:rPr>
        <w:t>, plus the remaining $53,000 of costs would be amortizable over 180 months</w:t>
      </w:r>
      <w:r w:rsidRPr="009C7565">
        <w:rPr>
          <w:rFonts w:ascii="Verdana" w:hAnsi="Verdana"/>
          <w:sz w:val="20"/>
        </w:rPr>
        <w:t xml:space="preserve">. </w:t>
      </w:r>
      <w:r w:rsidR="00593ABB" w:rsidRPr="009C7565">
        <w:rPr>
          <w:rFonts w:ascii="Verdana" w:hAnsi="Verdana"/>
          <w:sz w:val="20"/>
        </w:rPr>
        <w:t xml:space="preserve">These limits are applied separately for the start-up and organizational costs.  </w:t>
      </w:r>
    </w:p>
    <w:p w14:paraId="6C9CFE47" w14:textId="77777777" w:rsidR="000E5B60" w:rsidRPr="009C7565" w:rsidRDefault="000E5B60" w:rsidP="000E5B60">
      <w:pPr>
        <w:pStyle w:val="Style1"/>
        <w:jc w:val="left"/>
        <w:rPr>
          <w:rFonts w:ascii="Verdana" w:hAnsi="Verdana" w:cs="Tahoma"/>
          <w:sz w:val="20"/>
        </w:rPr>
      </w:pPr>
    </w:p>
    <w:p w14:paraId="5DD3EC04" w14:textId="77777777" w:rsidR="000E5B60" w:rsidRPr="009C7565" w:rsidRDefault="000E5B60" w:rsidP="000E5B60">
      <w:pPr>
        <w:pStyle w:val="Style1"/>
        <w:jc w:val="left"/>
        <w:rPr>
          <w:rFonts w:ascii="Verdana" w:hAnsi="Verdana" w:cs="Tahoma"/>
          <w:sz w:val="20"/>
        </w:rPr>
      </w:pPr>
      <w:r w:rsidRPr="009C7565">
        <w:rPr>
          <w:rFonts w:ascii="Verdana" w:hAnsi="Verdana" w:cs="Tahoma"/>
          <w:sz w:val="20"/>
        </w:rPr>
        <w:t xml:space="preserve">The election to deduct start-up </w:t>
      </w:r>
      <w:r w:rsidR="00593ABB" w:rsidRPr="009C7565">
        <w:rPr>
          <w:rFonts w:ascii="Verdana" w:hAnsi="Verdana" w:cs="Tahoma"/>
          <w:sz w:val="20"/>
        </w:rPr>
        <w:t xml:space="preserve">and organizational </w:t>
      </w:r>
      <w:r w:rsidRPr="009C7565">
        <w:rPr>
          <w:rFonts w:ascii="Verdana" w:hAnsi="Verdana" w:cs="Tahoma"/>
          <w:sz w:val="20"/>
        </w:rPr>
        <w:t xml:space="preserve">costs is made by claiming the deduction on the return for the year in which the active trade or business begins, and the return must be filed by the extended due date. </w:t>
      </w:r>
    </w:p>
    <w:p w14:paraId="261249F8" w14:textId="77777777" w:rsidR="000E5B60" w:rsidRPr="009C7565" w:rsidRDefault="000E5B60" w:rsidP="003D5549">
      <w:pPr>
        <w:rPr>
          <w:rFonts w:cs="Arial"/>
        </w:rPr>
      </w:pPr>
    </w:p>
    <w:p w14:paraId="26AC73E1" w14:textId="77777777" w:rsidR="002C5DB9" w:rsidRPr="009C7565" w:rsidRDefault="00593ABB" w:rsidP="003D5549">
      <w:pPr>
        <w:rPr>
          <w:rFonts w:cs="Arial"/>
          <w:b/>
        </w:rPr>
      </w:pPr>
      <w:r w:rsidRPr="009C7565">
        <w:rPr>
          <w:rFonts w:cs="Arial"/>
          <w:bCs/>
        </w:rPr>
        <w:t xml:space="preserve">The decision to write off these expenses should </w:t>
      </w:r>
      <w:r w:rsidR="002D09A5" w:rsidRPr="009C7565">
        <w:rPr>
          <w:rFonts w:cs="Arial"/>
          <w:bCs/>
        </w:rPr>
        <w:t xml:space="preserve">take into consideration </w:t>
      </w:r>
      <w:r w:rsidRPr="009C7565">
        <w:rPr>
          <w:rFonts w:cs="Arial"/>
          <w:bCs/>
        </w:rPr>
        <w:t>other tax benefits available in the first of year of the business</w:t>
      </w:r>
      <w:r w:rsidR="00426356" w:rsidRPr="009C7565">
        <w:rPr>
          <w:rFonts w:cs="Arial"/>
          <w:bCs/>
        </w:rPr>
        <w:t>,</w:t>
      </w:r>
      <w:r w:rsidRPr="009C7565">
        <w:rPr>
          <w:rFonts w:cs="Arial"/>
          <w:bCs/>
        </w:rPr>
        <w:t xml:space="preserve"> including bonus deprecation and Sec 179 expensing</w:t>
      </w:r>
      <w:r w:rsidR="00426356" w:rsidRPr="009C7565">
        <w:rPr>
          <w:rFonts w:cs="Arial"/>
          <w:bCs/>
        </w:rPr>
        <w:t>,</w:t>
      </w:r>
      <w:r w:rsidRPr="009C7565">
        <w:rPr>
          <w:rFonts w:cs="Arial"/>
          <w:bCs/>
        </w:rPr>
        <w:t xml:space="preserve"> </w:t>
      </w:r>
      <w:r w:rsidR="0075783F" w:rsidRPr="009C7565">
        <w:rPr>
          <w:rFonts w:cs="Arial"/>
          <w:bCs/>
        </w:rPr>
        <w:t xml:space="preserve">the Sec 199A deduction, </w:t>
      </w:r>
      <w:r w:rsidRPr="009C7565">
        <w:rPr>
          <w:rFonts w:cs="Arial"/>
          <w:bCs/>
        </w:rPr>
        <w:t>and the overall result in the first year of the business.</w:t>
      </w:r>
      <w:r w:rsidRPr="009C7565">
        <w:rPr>
          <w:rFonts w:cs="Arial"/>
          <w:b/>
        </w:rPr>
        <w:t xml:space="preserve"> </w:t>
      </w:r>
    </w:p>
    <w:p w14:paraId="40E64ED6" w14:textId="77777777" w:rsidR="002C5DB9" w:rsidRPr="009C7565" w:rsidRDefault="002C5DB9" w:rsidP="003D5549">
      <w:pPr>
        <w:rPr>
          <w:rFonts w:cs="Arial"/>
          <w:b/>
        </w:rPr>
      </w:pPr>
    </w:p>
    <w:p w14:paraId="5E6B4840" w14:textId="77777777" w:rsidR="00EA6CFC" w:rsidRPr="001E141B" w:rsidRDefault="00EA6CFC" w:rsidP="003D5549">
      <w:pPr>
        <w:rPr>
          <w:rFonts w:cs="Arial"/>
        </w:rPr>
      </w:pPr>
      <w:r w:rsidRPr="009C7565">
        <w:rPr>
          <w:rFonts w:cs="Arial"/>
        </w:rPr>
        <w:t xml:space="preserve">If you </w:t>
      </w:r>
      <w:r w:rsidR="00593ABB" w:rsidRPr="009C7565">
        <w:rPr>
          <w:rFonts w:cs="Arial"/>
        </w:rPr>
        <w:t xml:space="preserve">are starting a </w:t>
      </w:r>
      <w:r w:rsidR="007914CB" w:rsidRPr="009C7565">
        <w:rPr>
          <w:rFonts w:cs="Arial"/>
        </w:rPr>
        <w:t>business,</w:t>
      </w:r>
      <w:r w:rsidR="00593ABB" w:rsidRPr="009C7565">
        <w:rPr>
          <w:rFonts w:cs="Arial"/>
        </w:rPr>
        <w:t xml:space="preserve"> it may be appropriate to formulate a business </w:t>
      </w:r>
      <w:r w:rsidR="007914CB" w:rsidRPr="009C7565">
        <w:rPr>
          <w:rFonts w:cs="Arial"/>
        </w:rPr>
        <w:t xml:space="preserve">plan in advance. If you have questions or would like an appointment to discuss how </w:t>
      </w:r>
      <w:r w:rsidR="00426356" w:rsidRPr="009C7565">
        <w:rPr>
          <w:rFonts w:cs="Arial"/>
        </w:rPr>
        <w:t xml:space="preserve">to </w:t>
      </w:r>
      <w:r w:rsidR="007914CB" w:rsidRPr="009C7565">
        <w:rPr>
          <w:rFonts w:cs="Arial"/>
        </w:rPr>
        <w:t>establish your business and the types of business structures that are available, please give this office a call.</w:t>
      </w:r>
      <w:r w:rsidR="007914CB">
        <w:rPr>
          <w:rFonts w:cs="Arial"/>
        </w:rPr>
        <w:t xml:space="preserve">    </w:t>
      </w:r>
    </w:p>
    <w:p w14:paraId="54BF974A" w14:textId="77777777" w:rsidR="00ED75B9" w:rsidRPr="008530C9" w:rsidRDefault="00593ABB" w:rsidP="003D5549">
      <w:pPr>
        <w:rPr>
          <w:rFonts w:cs="Arial"/>
          <w:u w:val="single"/>
        </w:rPr>
      </w:pPr>
      <w:r>
        <w:rPr>
          <w:rFonts w:cs="Arial"/>
          <w:b/>
        </w:rPr>
        <w:t xml:space="preserve"> </w:t>
      </w:r>
    </w:p>
    <w:sectPr w:rsidR="00ED75B9" w:rsidRPr="00853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Condensed">
    <w:altName w:val="Arial"/>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E3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E3C85"/>
    <w:multiLevelType w:val="hybridMultilevel"/>
    <w:tmpl w:val="0B08A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B02AB"/>
    <w:multiLevelType w:val="hybridMultilevel"/>
    <w:tmpl w:val="F3A2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64D8A"/>
    <w:multiLevelType w:val="hybridMultilevel"/>
    <w:tmpl w:val="45F4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92F8F"/>
    <w:multiLevelType w:val="hybridMultilevel"/>
    <w:tmpl w:val="97E24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6D1D06"/>
    <w:multiLevelType w:val="hybridMultilevel"/>
    <w:tmpl w:val="33781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252E8"/>
    <w:multiLevelType w:val="hybridMultilevel"/>
    <w:tmpl w:val="AD30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E46B8"/>
    <w:multiLevelType w:val="multilevel"/>
    <w:tmpl w:val="6A00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B2989"/>
    <w:multiLevelType w:val="hybridMultilevel"/>
    <w:tmpl w:val="4DB0C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6616"/>
    <w:multiLevelType w:val="hybridMultilevel"/>
    <w:tmpl w:val="10D28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44006"/>
    <w:multiLevelType w:val="hybridMultilevel"/>
    <w:tmpl w:val="C2A0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53770"/>
    <w:multiLevelType w:val="hybridMultilevel"/>
    <w:tmpl w:val="C06EDE06"/>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B218F"/>
    <w:multiLevelType w:val="multilevel"/>
    <w:tmpl w:val="0B08A6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3E498D"/>
    <w:multiLevelType w:val="hybridMultilevel"/>
    <w:tmpl w:val="D96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B716F"/>
    <w:multiLevelType w:val="multilevel"/>
    <w:tmpl w:val="0778DB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89E38A6"/>
    <w:multiLevelType w:val="hybridMultilevel"/>
    <w:tmpl w:val="26504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E0604"/>
    <w:multiLevelType w:val="hybridMultilevel"/>
    <w:tmpl w:val="0A9C763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924051"/>
    <w:multiLevelType w:val="hybridMultilevel"/>
    <w:tmpl w:val="69461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A7BC5"/>
    <w:multiLevelType w:val="hybridMultilevel"/>
    <w:tmpl w:val="0778D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066599"/>
    <w:multiLevelType w:val="hybridMultilevel"/>
    <w:tmpl w:val="C8F6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E643B"/>
    <w:multiLevelType w:val="multilevel"/>
    <w:tmpl w:val="0D6C29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12F48"/>
    <w:multiLevelType w:val="hybridMultilevel"/>
    <w:tmpl w:val="3A10DC1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B96622B"/>
    <w:multiLevelType w:val="hybridMultilevel"/>
    <w:tmpl w:val="BBE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0E97"/>
    <w:multiLevelType w:val="hybridMultilevel"/>
    <w:tmpl w:val="BE80A8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11D4222"/>
    <w:multiLevelType w:val="hybridMultilevel"/>
    <w:tmpl w:val="B93E3520"/>
    <w:lvl w:ilvl="0" w:tplc="5AFE3B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F5984"/>
    <w:multiLevelType w:val="hybridMultilevel"/>
    <w:tmpl w:val="BB147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F3A17"/>
    <w:multiLevelType w:val="multilevel"/>
    <w:tmpl w:val="908A715E"/>
    <w:lvl w:ilvl="0">
      <w:start w:val="4"/>
      <w:numFmt w:val="decimal"/>
      <w:lvlText w:val="%1.0"/>
      <w:lvlJc w:val="left"/>
      <w:pPr>
        <w:tabs>
          <w:tab w:val="num" w:pos="800"/>
        </w:tabs>
        <w:ind w:left="800" w:hanging="720"/>
      </w:pPr>
      <w:rPr>
        <w:rFonts w:hint="default"/>
      </w:rPr>
    </w:lvl>
    <w:lvl w:ilvl="1">
      <w:start w:val="1"/>
      <w:numFmt w:val="decimal"/>
      <w:lvlText w:val="%1.%2"/>
      <w:lvlJc w:val="left"/>
      <w:pPr>
        <w:tabs>
          <w:tab w:val="num" w:pos="1520"/>
        </w:tabs>
        <w:ind w:left="1520" w:hanging="720"/>
      </w:pPr>
      <w:rPr>
        <w:rFonts w:hint="default"/>
      </w:rPr>
    </w:lvl>
    <w:lvl w:ilvl="2">
      <w:start w:val="1"/>
      <w:numFmt w:val="decimal"/>
      <w:lvlText w:val="%1.%2.%3"/>
      <w:lvlJc w:val="left"/>
      <w:pPr>
        <w:tabs>
          <w:tab w:val="num" w:pos="2240"/>
        </w:tabs>
        <w:ind w:left="2240" w:hanging="720"/>
      </w:pPr>
      <w:rPr>
        <w:rFonts w:hint="default"/>
      </w:rPr>
    </w:lvl>
    <w:lvl w:ilvl="3">
      <w:start w:val="1"/>
      <w:numFmt w:val="decimal"/>
      <w:lvlText w:val="%1.%2.%3.%4"/>
      <w:lvlJc w:val="left"/>
      <w:pPr>
        <w:tabs>
          <w:tab w:val="num" w:pos="3320"/>
        </w:tabs>
        <w:ind w:left="3320" w:hanging="1080"/>
      </w:pPr>
      <w:rPr>
        <w:rFonts w:hint="default"/>
      </w:rPr>
    </w:lvl>
    <w:lvl w:ilvl="4">
      <w:start w:val="1"/>
      <w:numFmt w:val="decimal"/>
      <w:lvlText w:val="%1.%2.%3.%4.%5"/>
      <w:lvlJc w:val="left"/>
      <w:pPr>
        <w:tabs>
          <w:tab w:val="num" w:pos="4400"/>
        </w:tabs>
        <w:ind w:left="4400" w:hanging="1440"/>
      </w:pPr>
      <w:rPr>
        <w:rFonts w:hint="default"/>
      </w:rPr>
    </w:lvl>
    <w:lvl w:ilvl="5">
      <w:start w:val="1"/>
      <w:numFmt w:val="decimal"/>
      <w:lvlText w:val="%1.%2.%3.%4.%5.%6"/>
      <w:lvlJc w:val="left"/>
      <w:pPr>
        <w:tabs>
          <w:tab w:val="num" w:pos="5120"/>
        </w:tabs>
        <w:ind w:left="5120" w:hanging="1440"/>
      </w:pPr>
      <w:rPr>
        <w:rFonts w:hint="default"/>
      </w:rPr>
    </w:lvl>
    <w:lvl w:ilvl="6">
      <w:start w:val="1"/>
      <w:numFmt w:val="decimal"/>
      <w:lvlText w:val="%1.%2.%3.%4.%5.%6.%7"/>
      <w:lvlJc w:val="left"/>
      <w:pPr>
        <w:tabs>
          <w:tab w:val="num" w:pos="6200"/>
        </w:tabs>
        <w:ind w:left="6200" w:hanging="1800"/>
      </w:pPr>
      <w:rPr>
        <w:rFonts w:hint="default"/>
      </w:rPr>
    </w:lvl>
    <w:lvl w:ilvl="7">
      <w:start w:val="1"/>
      <w:numFmt w:val="decimal"/>
      <w:lvlText w:val="%1.%2.%3.%4.%5.%6.%7.%8"/>
      <w:lvlJc w:val="left"/>
      <w:pPr>
        <w:tabs>
          <w:tab w:val="num" w:pos="7280"/>
        </w:tabs>
        <w:ind w:left="7280" w:hanging="2160"/>
      </w:pPr>
      <w:rPr>
        <w:rFonts w:hint="default"/>
      </w:rPr>
    </w:lvl>
    <w:lvl w:ilvl="8">
      <w:start w:val="1"/>
      <w:numFmt w:val="decimal"/>
      <w:lvlText w:val="%1.%2.%3.%4.%5.%6.%7.%8.%9"/>
      <w:lvlJc w:val="left"/>
      <w:pPr>
        <w:tabs>
          <w:tab w:val="num" w:pos="8000"/>
        </w:tabs>
        <w:ind w:left="8000" w:hanging="2160"/>
      </w:pPr>
      <w:rPr>
        <w:rFonts w:hint="default"/>
      </w:rPr>
    </w:lvl>
  </w:abstractNum>
  <w:num w:numId="1" w16cid:durableId="977304051">
    <w:abstractNumId w:val="26"/>
  </w:num>
  <w:num w:numId="2" w16cid:durableId="633563614">
    <w:abstractNumId w:val="24"/>
  </w:num>
  <w:num w:numId="3" w16cid:durableId="630745782">
    <w:abstractNumId w:val="6"/>
  </w:num>
  <w:num w:numId="4" w16cid:durableId="369964787">
    <w:abstractNumId w:val="19"/>
  </w:num>
  <w:num w:numId="5" w16cid:durableId="1223559701">
    <w:abstractNumId w:val="7"/>
  </w:num>
  <w:num w:numId="6" w16cid:durableId="4597240">
    <w:abstractNumId w:val="9"/>
  </w:num>
  <w:num w:numId="7" w16cid:durableId="1224020778">
    <w:abstractNumId w:val="17"/>
  </w:num>
  <w:num w:numId="8" w16cid:durableId="1632174778">
    <w:abstractNumId w:val="2"/>
  </w:num>
  <w:num w:numId="9" w16cid:durableId="1128233327">
    <w:abstractNumId w:val="20"/>
  </w:num>
  <w:num w:numId="10" w16cid:durableId="1713383712">
    <w:abstractNumId w:val="5"/>
  </w:num>
  <w:num w:numId="11" w16cid:durableId="1602570006">
    <w:abstractNumId w:val="10"/>
  </w:num>
  <w:num w:numId="12" w16cid:durableId="1669559763">
    <w:abstractNumId w:val="25"/>
  </w:num>
  <w:num w:numId="13" w16cid:durableId="2114546684">
    <w:abstractNumId w:val="11"/>
  </w:num>
  <w:num w:numId="14" w16cid:durableId="1852061718">
    <w:abstractNumId w:val="21"/>
  </w:num>
  <w:num w:numId="15" w16cid:durableId="1562324446">
    <w:abstractNumId w:val="15"/>
  </w:num>
  <w:num w:numId="16" w16cid:durableId="179051430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23677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110743">
    <w:abstractNumId w:val="1"/>
  </w:num>
  <w:num w:numId="19" w16cid:durableId="860119791">
    <w:abstractNumId w:val="8"/>
  </w:num>
  <w:num w:numId="20" w16cid:durableId="1101295891">
    <w:abstractNumId w:val="22"/>
  </w:num>
  <w:num w:numId="21" w16cid:durableId="948969006">
    <w:abstractNumId w:val="0"/>
  </w:num>
  <w:num w:numId="22" w16cid:durableId="1911454180">
    <w:abstractNumId w:val="13"/>
  </w:num>
  <w:num w:numId="23" w16cid:durableId="1947079398">
    <w:abstractNumId w:val="12"/>
  </w:num>
  <w:num w:numId="24" w16cid:durableId="689649687">
    <w:abstractNumId w:val="4"/>
  </w:num>
  <w:num w:numId="25" w16cid:durableId="318267917">
    <w:abstractNumId w:val="18"/>
  </w:num>
  <w:num w:numId="26" w16cid:durableId="1473517609">
    <w:abstractNumId w:val="14"/>
  </w:num>
  <w:num w:numId="27" w16cid:durableId="9621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3D1"/>
    <w:rsid w:val="00002D03"/>
    <w:rsid w:val="00010F95"/>
    <w:rsid w:val="0001211D"/>
    <w:rsid w:val="00012CAD"/>
    <w:rsid w:val="00014E28"/>
    <w:rsid w:val="00015445"/>
    <w:rsid w:val="00016F40"/>
    <w:rsid w:val="000201F6"/>
    <w:rsid w:val="00020C83"/>
    <w:rsid w:val="00021696"/>
    <w:rsid w:val="00022864"/>
    <w:rsid w:val="000265A8"/>
    <w:rsid w:val="00033237"/>
    <w:rsid w:val="0003347E"/>
    <w:rsid w:val="000342DF"/>
    <w:rsid w:val="00035E4F"/>
    <w:rsid w:val="0003669A"/>
    <w:rsid w:val="00036FBE"/>
    <w:rsid w:val="00044BD2"/>
    <w:rsid w:val="00044EFD"/>
    <w:rsid w:val="00046C3C"/>
    <w:rsid w:val="00047B43"/>
    <w:rsid w:val="0005490E"/>
    <w:rsid w:val="000610AC"/>
    <w:rsid w:val="000639BB"/>
    <w:rsid w:val="000645AD"/>
    <w:rsid w:val="00064B5D"/>
    <w:rsid w:val="00064E97"/>
    <w:rsid w:val="000650A3"/>
    <w:rsid w:val="00071C11"/>
    <w:rsid w:val="000759E7"/>
    <w:rsid w:val="00076FB8"/>
    <w:rsid w:val="000807A4"/>
    <w:rsid w:val="00085A4F"/>
    <w:rsid w:val="00087F68"/>
    <w:rsid w:val="00090BDF"/>
    <w:rsid w:val="00090F56"/>
    <w:rsid w:val="00092C0E"/>
    <w:rsid w:val="000954BB"/>
    <w:rsid w:val="000979F9"/>
    <w:rsid w:val="000A0561"/>
    <w:rsid w:val="000A218E"/>
    <w:rsid w:val="000A319E"/>
    <w:rsid w:val="000A3E45"/>
    <w:rsid w:val="000A6CA9"/>
    <w:rsid w:val="000B10B2"/>
    <w:rsid w:val="000B411F"/>
    <w:rsid w:val="000B5ACD"/>
    <w:rsid w:val="000B663A"/>
    <w:rsid w:val="000C0636"/>
    <w:rsid w:val="000C12E8"/>
    <w:rsid w:val="000C2ABC"/>
    <w:rsid w:val="000C3182"/>
    <w:rsid w:val="000C3E9C"/>
    <w:rsid w:val="000C46FE"/>
    <w:rsid w:val="000D192C"/>
    <w:rsid w:val="000D19DF"/>
    <w:rsid w:val="000D24C3"/>
    <w:rsid w:val="000D3F73"/>
    <w:rsid w:val="000D4739"/>
    <w:rsid w:val="000D49F4"/>
    <w:rsid w:val="000D6B0B"/>
    <w:rsid w:val="000E1FCB"/>
    <w:rsid w:val="000E2AA7"/>
    <w:rsid w:val="000E52B6"/>
    <w:rsid w:val="000E5B60"/>
    <w:rsid w:val="000E5D57"/>
    <w:rsid w:val="000E7A2D"/>
    <w:rsid w:val="000E7FEF"/>
    <w:rsid w:val="000F0ECE"/>
    <w:rsid w:val="000F5445"/>
    <w:rsid w:val="000F548F"/>
    <w:rsid w:val="000F5C97"/>
    <w:rsid w:val="000F677F"/>
    <w:rsid w:val="001004E4"/>
    <w:rsid w:val="001004EB"/>
    <w:rsid w:val="00100A78"/>
    <w:rsid w:val="0010101C"/>
    <w:rsid w:val="001044C6"/>
    <w:rsid w:val="00104629"/>
    <w:rsid w:val="00104EDD"/>
    <w:rsid w:val="00112ED4"/>
    <w:rsid w:val="0011443B"/>
    <w:rsid w:val="0011447C"/>
    <w:rsid w:val="0012126E"/>
    <w:rsid w:val="001230C0"/>
    <w:rsid w:val="00125C20"/>
    <w:rsid w:val="00126CA9"/>
    <w:rsid w:val="00135B95"/>
    <w:rsid w:val="00136AB7"/>
    <w:rsid w:val="001429E0"/>
    <w:rsid w:val="00143071"/>
    <w:rsid w:val="001551C1"/>
    <w:rsid w:val="001565CE"/>
    <w:rsid w:val="00156C52"/>
    <w:rsid w:val="0016112B"/>
    <w:rsid w:val="00162A8C"/>
    <w:rsid w:val="00175DDD"/>
    <w:rsid w:val="00176273"/>
    <w:rsid w:val="001803C4"/>
    <w:rsid w:val="001803FE"/>
    <w:rsid w:val="001818B5"/>
    <w:rsid w:val="00182777"/>
    <w:rsid w:val="00183165"/>
    <w:rsid w:val="0018417E"/>
    <w:rsid w:val="0018554A"/>
    <w:rsid w:val="001857C7"/>
    <w:rsid w:val="00186123"/>
    <w:rsid w:val="0018639B"/>
    <w:rsid w:val="00186988"/>
    <w:rsid w:val="00187A72"/>
    <w:rsid w:val="001945F8"/>
    <w:rsid w:val="00195822"/>
    <w:rsid w:val="0019584B"/>
    <w:rsid w:val="00195C32"/>
    <w:rsid w:val="0019665A"/>
    <w:rsid w:val="00197D72"/>
    <w:rsid w:val="001A14A8"/>
    <w:rsid w:val="001A1B0A"/>
    <w:rsid w:val="001A30AC"/>
    <w:rsid w:val="001A542F"/>
    <w:rsid w:val="001A548F"/>
    <w:rsid w:val="001B1BA7"/>
    <w:rsid w:val="001B273D"/>
    <w:rsid w:val="001B33BD"/>
    <w:rsid w:val="001B60A3"/>
    <w:rsid w:val="001B7D89"/>
    <w:rsid w:val="001C1856"/>
    <w:rsid w:val="001C4686"/>
    <w:rsid w:val="001C484C"/>
    <w:rsid w:val="001D3337"/>
    <w:rsid w:val="001D3A81"/>
    <w:rsid w:val="001D4215"/>
    <w:rsid w:val="001D4DC2"/>
    <w:rsid w:val="001E0A1A"/>
    <w:rsid w:val="001E0E6F"/>
    <w:rsid w:val="001E122E"/>
    <w:rsid w:val="001E141B"/>
    <w:rsid w:val="001E178A"/>
    <w:rsid w:val="001E17DA"/>
    <w:rsid w:val="001E1BCA"/>
    <w:rsid w:val="001E1DBA"/>
    <w:rsid w:val="001E5A5A"/>
    <w:rsid w:val="001E5BEE"/>
    <w:rsid w:val="001F2F7A"/>
    <w:rsid w:val="001F47BE"/>
    <w:rsid w:val="002007E2"/>
    <w:rsid w:val="0020440D"/>
    <w:rsid w:val="00204CE5"/>
    <w:rsid w:val="00204D51"/>
    <w:rsid w:val="00205784"/>
    <w:rsid w:val="00205DE0"/>
    <w:rsid w:val="00207EC7"/>
    <w:rsid w:val="00210E73"/>
    <w:rsid w:val="00211147"/>
    <w:rsid w:val="002131B7"/>
    <w:rsid w:val="00214DF8"/>
    <w:rsid w:val="00216EC4"/>
    <w:rsid w:val="002174F1"/>
    <w:rsid w:val="00221B3F"/>
    <w:rsid w:val="002226D1"/>
    <w:rsid w:val="00222BD6"/>
    <w:rsid w:val="00225661"/>
    <w:rsid w:val="00230356"/>
    <w:rsid w:val="00235A5C"/>
    <w:rsid w:val="00240245"/>
    <w:rsid w:val="00241266"/>
    <w:rsid w:val="00242ED7"/>
    <w:rsid w:val="002433C3"/>
    <w:rsid w:val="00244F3F"/>
    <w:rsid w:val="00245C6F"/>
    <w:rsid w:val="002465CB"/>
    <w:rsid w:val="002466EC"/>
    <w:rsid w:val="002470B4"/>
    <w:rsid w:val="002476F6"/>
    <w:rsid w:val="00250693"/>
    <w:rsid w:val="002510E7"/>
    <w:rsid w:val="002642F9"/>
    <w:rsid w:val="002664F3"/>
    <w:rsid w:val="00267184"/>
    <w:rsid w:val="00267FEE"/>
    <w:rsid w:val="002709A1"/>
    <w:rsid w:val="0027304A"/>
    <w:rsid w:val="00274409"/>
    <w:rsid w:val="002760BF"/>
    <w:rsid w:val="002767F1"/>
    <w:rsid w:val="00281994"/>
    <w:rsid w:val="0028312D"/>
    <w:rsid w:val="002833BC"/>
    <w:rsid w:val="0028529B"/>
    <w:rsid w:val="00285BD4"/>
    <w:rsid w:val="00292779"/>
    <w:rsid w:val="00294922"/>
    <w:rsid w:val="00296441"/>
    <w:rsid w:val="00297545"/>
    <w:rsid w:val="002979F3"/>
    <w:rsid w:val="002A2D62"/>
    <w:rsid w:val="002A4CB9"/>
    <w:rsid w:val="002B0D58"/>
    <w:rsid w:val="002B151B"/>
    <w:rsid w:val="002B29B5"/>
    <w:rsid w:val="002B2E6E"/>
    <w:rsid w:val="002B5629"/>
    <w:rsid w:val="002B5E13"/>
    <w:rsid w:val="002C150B"/>
    <w:rsid w:val="002C1C2E"/>
    <w:rsid w:val="002C4530"/>
    <w:rsid w:val="002C57F8"/>
    <w:rsid w:val="002C5DB9"/>
    <w:rsid w:val="002C5DC2"/>
    <w:rsid w:val="002D09A5"/>
    <w:rsid w:val="002D206B"/>
    <w:rsid w:val="002D6DB8"/>
    <w:rsid w:val="002D7B5F"/>
    <w:rsid w:val="002F77DB"/>
    <w:rsid w:val="00302A08"/>
    <w:rsid w:val="00304C17"/>
    <w:rsid w:val="003060AA"/>
    <w:rsid w:val="0030685C"/>
    <w:rsid w:val="00310CCA"/>
    <w:rsid w:val="003139A9"/>
    <w:rsid w:val="00313D51"/>
    <w:rsid w:val="00314130"/>
    <w:rsid w:val="00321CF5"/>
    <w:rsid w:val="00323071"/>
    <w:rsid w:val="00326C00"/>
    <w:rsid w:val="00327F1B"/>
    <w:rsid w:val="00331507"/>
    <w:rsid w:val="0033291B"/>
    <w:rsid w:val="0033397D"/>
    <w:rsid w:val="003343A4"/>
    <w:rsid w:val="00337050"/>
    <w:rsid w:val="003430E9"/>
    <w:rsid w:val="00343ADE"/>
    <w:rsid w:val="00344079"/>
    <w:rsid w:val="0034412A"/>
    <w:rsid w:val="003469D9"/>
    <w:rsid w:val="00346D9D"/>
    <w:rsid w:val="00346FBB"/>
    <w:rsid w:val="003514A4"/>
    <w:rsid w:val="00353884"/>
    <w:rsid w:val="00355CF3"/>
    <w:rsid w:val="00356145"/>
    <w:rsid w:val="00356B9E"/>
    <w:rsid w:val="00357B0F"/>
    <w:rsid w:val="00357BC3"/>
    <w:rsid w:val="00360226"/>
    <w:rsid w:val="00363C28"/>
    <w:rsid w:val="00365B60"/>
    <w:rsid w:val="003662C9"/>
    <w:rsid w:val="003755E8"/>
    <w:rsid w:val="00377F9C"/>
    <w:rsid w:val="003812B6"/>
    <w:rsid w:val="00384865"/>
    <w:rsid w:val="003914E4"/>
    <w:rsid w:val="00397766"/>
    <w:rsid w:val="003A098B"/>
    <w:rsid w:val="003A1B6C"/>
    <w:rsid w:val="003A20F9"/>
    <w:rsid w:val="003A307C"/>
    <w:rsid w:val="003A54B4"/>
    <w:rsid w:val="003A60BB"/>
    <w:rsid w:val="003A6784"/>
    <w:rsid w:val="003B1532"/>
    <w:rsid w:val="003B345B"/>
    <w:rsid w:val="003B5BF0"/>
    <w:rsid w:val="003B665E"/>
    <w:rsid w:val="003C0CF9"/>
    <w:rsid w:val="003C0E4E"/>
    <w:rsid w:val="003C226E"/>
    <w:rsid w:val="003C31EF"/>
    <w:rsid w:val="003C42B7"/>
    <w:rsid w:val="003C5034"/>
    <w:rsid w:val="003C6951"/>
    <w:rsid w:val="003D199D"/>
    <w:rsid w:val="003D5549"/>
    <w:rsid w:val="003D6A20"/>
    <w:rsid w:val="003D6B56"/>
    <w:rsid w:val="003D6ED9"/>
    <w:rsid w:val="003E0459"/>
    <w:rsid w:val="003E0885"/>
    <w:rsid w:val="003F0EB9"/>
    <w:rsid w:val="003F0ED7"/>
    <w:rsid w:val="003F3FA9"/>
    <w:rsid w:val="004006A9"/>
    <w:rsid w:val="00402B86"/>
    <w:rsid w:val="00405F77"/>
    <w:rsid w:val="00406162"/>
    <w:rsid w:val="00407091"/>
    <w:rsid w:val="004070CB"/>
    <w:rsid w:val="004126D6"/>
    <w:rsid w:val="004140B6"/>
    <w:rsid w:val="00415206"/>
    <w:rsid w:val="0042124E"/>
    <w:rsid w:val="0042157F"/>
    <w:rsid w:val="00421CFB"/>
    <w:rsid w:val="00422842"/>
    <w:rsid w:val="00426356"/>
    <w:rsid w:val="00426393"/>
    <w:rsid w:val="00427B88"/>
    <w:rsid w:val="00430E95"/>
    <w:rsid w:val="0043266E"/>
    <w:rsid w:val="00435392"/>
    <w:rsid w:val="00435937"/>
    <w:rsid w:val="00435AA1"/>
    <w:rsid w:val="00444763"/>
    <w:rsid w:val="00444D0F"/>
    <w:rsid w:val="004503DA"/>
    <w:rsid w:val="004504BB"/>
    <w:rsid w:val="004505F8"/>
    <w:rsid w:val="00450610"/>
    <w:rsid w:val="0045275E"/>
    <w:rsid w:val="004535CE"/>
    <w:rsid w:val="0045431A"/>
    <w:rsid w:val="0045503D"/>
    <w:rsid w:val="00455DB1"/>
    <w:rsid w:val="00456DB5"/>
    <w:rsid w:val="00460E4D"/>
    <w:rsid w:val="00461626"/>
    <w:rsid w:val="0046637E"/>
    <w:rsid w:val="00467191"/>
    <w:rsid w:val="004732FD"/>
    <w:rsid w:val="004750E2"/>
    <w:rsid w:val="00477B6E"/>
    <w:rsid w:val="00480258"/>
    <w:rsid w:val="00480D91"/>
    <w:rsid w:val="004816BB"/>
    <w:rsid w:val="00482BB7"/>
    <w:rsid w:val="0048346F"/>
    <w:rsid w:val="00492413"/>
    <w:rsid w:val="004A0ABC"/>
    <w:rsid w:val="004A1E80"/>
    <w:rsid w:val="004A1F29"/>
    <w:rsid w:val="004A42E5"/>
    <w:rsid w:val="004A648C"/>
    <w:rsid w:val="004B403C"/>
    <w:rsid w:val="004B74E1"/>
    <w:rsid w:val="004C3378"/>
    <w:rsid w:val="004C44D7"/>
    <w:rsid w:val="004C58C0"/>
    <w:rsid w:val="004C63A8"/>
    <w:rsid w:val="004D3563"/>
    <w:rsid w:val="004D388A"/>
    <w:rsid w:val="004D46FD"/>
    <w:rsid w:val="004D566C"/>
    <w:rsid w:val="004E0370"/>
    <w:rsid w:val="004E1197"/>
    <w:rsid w:val="004E1A00"/>
    <w:rsid w:val="004E1E46"/>
    <w:rsid w:val="004E2F01"/>
    <w:rsid w:val="004E5B43"/>
    <w:rsid w:val="004E5CD1"/>
    <w:rsid w:val="004E623B"/>
    <w:rsid w:val="004F23D6"/>
    <w:rsid w:val="004F2568"/>
    <w:rsid w:val="004F305B"/>
    <w:rsid w:val="004F48CA"/>
    <w:rsid w:val="004F48E0"/>
    <w:rsid w:val="004F5689"/>
    <w:rsid w:val="00500F67"/>
    <w:rsid w:val="00502DA3"/>
    <w:rsid w:val="00505DD3"/>
    <w:rsid w:val="0050612C"/>
    <w:rsid w:val="005120F8"/>
    <w:rsid w:val="00512281"/>
    <w:rsid w:val="00512B72"/>
    <w:rsid w:val="00515552"/>
    <w:rsid w:val="005219F8"/>
    <w:rsid w:val="00521E95"/>
    <w:rsid w:val="00525FB7"/>
    <w:rsid w:val="00527C43"/>
    <w:rsid w:val="0053135C"/>
    <w:rsid w:val="00531C87"/>
    <w:rsid w:val="00534386"/>
    <w:rsid w:val="00534579"/>
    <w:rsid w:val="00534B45"/>
    <w:rsid w:val="00535A28"/>
    <w:rsid w:val="00541ACE"/>
    <w:rsid w:val="00542691"/>
    <w:rsid w:val="005444C5"/>
    <w:rsid w:val="0054570C"/>
    <w:rsid w:val="00547A6C"/>
    <w:rsid w:val="00550BA5"/>
    <w:rsid w:val="0055201D"/>
    <w:rsid w:val="00555EB6"/>
    <w:rsid w:val="00555F37"/>
    <w:rsid w:val="005567C7"/>
    <w:rsid w:val="00565184"/>
    <w:rsid w:val="00566B55"/>
    <w:rsid w:val="00571A83"/>
    <w:rsid w:val="00576542"/>
    <w:rsid w:val="00577898"/>
    <w:rsid w:val="0058168D"/>
    <w:rsid w:val="005859A3"/>
    <w:rsid w:val="00586F19"/>
    <w:rsid w:val="005913F5"/>
    <w:rsid w:val="00591BE1"/>
    <w:rsid w:val="00592CF8"/>
    <w:rsid w:val="00593ABB"/>
    <w:rsid w:val="005A01EA"/>
    <w:rsid w:val="005A0738"/>
    <w:rsid w:val="005A2B21"/>
    <w:rsid w:val="005A2BDA"/>
    <w:rsid w:val="005A43FF"/>
    <w:rsid w:val="005A71DE"/>
    <w:rsid w:val="005A741B"/>
    <w:rsid w:val="005B32B4"/>
    <w:rsid w:val="005B40D9"/>
    <w:rsid w:val="005B5A22"/>
    <w:rsid w:val="005C5791"/>
    <w:rsid w:val="005C5BCE"/>
    <w:rsid w:val="005C7439"/>
    <w:rsid w:val="005D026F"/>
    <w:rsid w:val="005D0504"/>
    <w:rsid w:val="005D0FDC"/>
    <w:rsid w:val="005D1932"/>
    <w:rsid w:val="005D279A"/>
    <w:rsid w:val="005D5479"/>
    <w:rsid w:val="005D6087"/>
    <w:rsid w:val="005E0161"/>
    <w:rsid w:val="005E140C"/>
    <w:rsid w:val="005E157A"/>
    <w:rsid w:val="005E1627"/>
    <w:rsid w:val="005E2072"/>
    <w:rsid w:val="005E32A5"/>
    <w:rsid w:val="005E5081"/>
    <w:rsid w:val="005F0985"/>
    <w:rsid w:val="005F18BE"/>
    <w:rsid w:val="005F58C3"/>
    <w:rsid w:val="005F6074"/>
    <w:rsid w:val="005F6802"/>
    <w:rsid w:val="00604A71"/>
    <w:rsid w:val="00612A9D"/>
    <w:rsid w:val="00615382"/>
    <w:rsid w:val="00615411"/>
    <w:rsid w:val="006176DB"/>
    <w:rsid w:val="0062154E"/>
    <w:rsid w:val="00621785"/>
    <w:rsid w:val="00630374"/>
    <w:rsid w:val="0063238A"/>
    <w:rsid w:val="00635006"/>
    <w:rsid w:val="0064405A"/>
    <w:rsid w:val="0064431C"/>
    <w:rsid w:val="00645256"/>
    <w:rsid w:val="00645C79"/>
    <w:rsid w:val="006472E7"/>
    <w:rsid w:val="00647B61"/>
    <w:rsid w:val="00647FCA"/>
    <w:rsid w:val="00650396"/>
    <w:rsid w:val="00652C20"/>
    <w:rsid w:val="00661787"/>
    <w:rsid w:val="006628BD"/>
    <w:rsid w:val="00662FA2"/>
    <w:rsid w:val="00664C5D"/>
    <w:rsid w:val="00665D4C"/>
    <w:rsid w:val="006674F6"/>
    <w:rsid w:val="006703B7"/>
    <w:rsid w:val="006704C7"/>
    <w:rsid w:val="0067062F"/>
    <w:rsid w:val="00674CE8"/>
    <w:rsid w:val="00674E38"/>
    <w:rsid w:val="00674ECD"/>
    <w:rsid w:val="00676ADD"/>
    <w:rsid w:val="00677598"/>
    <w:rsid w:val="00680033"/>
    <w:rsid w:val="00682736"/>
    <w:rsid w:val="006834FF"/>
    <w:rsid w:val="0068407D"/>
    <w:rsid w:val="006916B3"/>
    <w:rsid w:val="006A177D"/>
    <w:rsid w:val="006A288B"/>
    <w:rsid w:val="006A40FD"/>
    <w:rsid w:val="006A439B"/>
    <w:rsid w:val="006A5136"/>
    <w:rsid w:val="006B1981"/>
    <w:rsid w:val="006B44BA"/>
    <w:rsid w:val="006C3187"/>
    <w:rsid w:val="006D0E85"/>
    <w:rsid w:val="006D2C3A"/>
    <w:rsid w:val="006D2EC8"/>
    <w:rsid w:val="006D43D1"/>
    <w:rsid w:val="006D4F44"/>
    <w:rsid w:val="006E17ED"/>
    <w:rsid w:val="006E2C6C"/>
    <w:rsid w:val="006E3BC3"/>
    <w:rsid w:val="006F0D18"/>
    <w:rsid w:val="006F2807"/>
    <w:rsid w:val="006F4633"/>
    <w:rsid w:val="006F72F9"/>
    <w:rsid w:val="00705112"/>
    <w:rsid w:val="00705CD1"/>
    <w:rsid w:val="00707182"/>
    <w:rsid w:val="007123E4"/>
    <w:rsid w:val="007151F0"/>
    <w:rsid w:val="00715534"/>
    <w:rsid w:val="00716485"/>
    <w:rsid w:val="00716573"/>
    <w:rsid w:val="00723AFE"/>
    <w:rsid w:val="00725ACC"/>
    <w:rsid w:val="0072759A"/>
    <w:rsid w:val="007276AA"/>
    <w:rsid w:val="0073163D"/>
    <w:rsid w:val="00731FEF"/>
    <w:rsid w:val="00733CBE"/>
    <w:rsid w:val="00735892"/>
    <w:rsid w:val="007368F1"/>
    <w:rsid w:val="00740E3F"/>
    <w:rsid w:val="007430C0"/>
    <w:rsid w:val="0074438A"/>
    <w:rsid w:val="00744466"/>
    <w:rsid w:val="00751165"/>
    <w:rsid w:val="00753AA7"/>
    <w:rsid w:val="007549C4"/>
    <w:rsid w:val="00755CE5"/>
    <w:rsid w:val="007573FD"/>
    <w:rsid w:val="00757661"/>
    <w:rsid w:val="0075783F"/>
    <w:rsid w:val="0076037D"/>
    <w:rsid w:val="007623EA"/>
    <w:rsid w:val="0076331B"/>
    <w:rsid w:val="00763F63"/>
    <w:rsid w:val="00764BEC"/>
    <w:rsid w:val="00767E2E"/>
    <w:rsid w:val="007705EE"/>
    <w:rsid w:val="0077189E"/>
    <w:rsid w:val="00772058"/>
    <w:rsid w:val="00772169"/>
    <w:rsid w:val="00776B89"/>
    <w:rsid w:val="007850F2"/>
    <w:rsid w:val="007855BB"/>
    <w:rsid w:val="007876E1"/>
    <w:rsid w:val="007914CB"/>
    <w:rsid w:val="0079233D"/>
    <w:rsid w:val="00793E44"/>
    <w:rsid w:val="0079403D"/>
    <w:rsid w:val="0079437D"/>
    <w:rsid w:val="007952CD"/>
    <w:rsid w:val="00796376"/>
    <w:rsid w:val="007972AA"/>
    <w:rsid w:val="007A0351"/>
    <w:rsid w:val="007A2085"/>
    <w:rsid w:val="007A50CB"/>
    <w:rsid w:val="007A5724"/>
    <w:rsid w:val="007A603A"/>
    <w:rsid w:val="007B1122"/>
    <w:rsid w:val="007B1CAE"/>
    <w:rsid w:val="007B290B"/>
    <w:rsid w:val="007B5339"/>
    <w:rsid w:val="007B5C35"/>
    <w:rsid w:val="007B6805"/>
    <w:rsid w:val="007B6CCE"/>
    <w:rsid w:val="007C187A"/>
    <w:rsid w:val="007C288F"/>
    <w:rsid w:val="007C2C0B"/>
    <w:rsid w:val="007C3942"/>
    <w:rsid w:val="007C4B7E"/>
    <w:rsid w:val="007C52A3"/>
    <w:rsid w:val="007D1284"/>
    <w:rsid w:val="007D1973"/>
    <w:rsid w:val="007D3061"/>
    <w:rsid w:val="007D5B7C"/>
    <w:rsid w:val="007D5C1C"/>
    <w:rsid w:val="007E1FB7"/>
    <w:rsid w:val="007E494F"/>
    <w:rsid w:val="007E5368"/>
    <w:rsid w:val="007E596C"/>
    <w:rsid w:val="007E6078"/>
    <w:rsid w:val="007F0035"/>
    <w:rsid w:val="007F364B"/>
    <w:rsid w:val="007F3FBC"/>
    <w:rsid w:val="007F5E2F"/>
    <w:rsid w:val="007F7DCC"/>
    <w:rsid w:val="00800949"/>
    <w:rsid w:val="00801B39"/>
    <w:rsid w:val="008039C9"/>
    <w:rsid w:val="008113CF"/>
    <w:rsid w:val="008134F8"/>
    <w:rsid w:val="0081353F"/>
    <w:rsid w:val="0082016C"/>
    <w:rsid w:val="00821316"/>
    <w:rsid w:val="00823057"/>
    <w:rsid w:val="0082352C"/>
    <w:rsid w:val="00827A31"/>
    <w:rsid w:val="00830681"/>
    <w:rsid w:val="00830726"/>
    <w:rsid w:val="008330D6"/>
    <w:rsid w:val="008336AB"/>
    <w:rsid w:val="00833EF4"/>
    <w:rsid w:val="00840482"/>
    <w:rsid w:val="00840F04"/>
    <w:rsid w:val="0084252A"/>
    <w:rsid w:val="00847780"/>
    <w:rsid w:val="008508B3"/>
    <w:rsid w:val="00852AA8"/>
    <w:rsid w:val="008530C9"/>
    <w:rsid w:val="008535E0"/>
    <w:rsid w:val="0085771B"/>
    <w:rsid w:val="0085788A"/>
    <w:rsid w:val="008579EB"/>
    <w:rsid w:val="008609E0"/>
    <w:rsid w:val="008618B2"/>
    <w:rsid w:val="00864F8B"/>
    <w:rsid w:val="0086607F"/>
    <w:rsid w:val="008661F0"/>
    <w:rsid w:val="0087087D"/>
    <w:rsid w:val="0087191F"/>
    <w:rsid w:val="00873637"/>
    <w:rsid w:val="008738FC"/>
    <w:rsid w:val="008805FC"/>
    <w:rsid w:val="00881130"/>
    <w:rsid w:val="008813D8"/>
    <w:rsid w:val="0088336E"/>
    <w:rsid w:val="00893D90"/>
    <w:rsid w:val="00896183"/>
    <w:rsid w:val="00897567"/>
    <w:rsid w:val="008A3916"/>
    <w:rsid w:val="008A425C"/>
    <w:rsid w:val="008A6946"/>
    <w:rsid w:val="008A70BF"/>
    <w:rsid w:val="008A73F8"/>
    <w:rsid w:val="008B0836"/>
    <w:rsid w:val="008B1007"/>
    <w:rsid w:val="008B147B"/>
    <w:rsid w:val="008B3249"/>
    <w:rsid w:val="008B41A8"/>
    <w:rsid w:val="008B4860"/>
    <w:rsid w:val="008B66FD"/>
    <w:rsid w:val="008B69E4"/>
    <w:rsid w:val="008B7737"/>
    <w:rsid w:val="008C0CE1"/>
    <w:rsid w:val="008C1AD9"/>
    <w:rsid w:val="008C23C2"/>
    <w:rsid w:val="008C2B32"/>
    <w:rsid w:val="008C43D4"/>
    <w:rsid w:val="008C52CB"/>
    <w:rsid w:val="008D21C2"/>
    <w:rsid w:val="008D4EFD"/>
    <w:rsid w:val="008E0E17"/>
    <w:rsid w:val="008E1668"/>
    <w:rsid w:val="008E5F39"/>
    <w:rsid w:val="008F01CA"/>
    <w:rsid w:val="008F06D8"/>
    <w:rsid w:val="008F0D9A"/>
    <w:rsid w:val="008F0EC1"/>
    <w:rsid w:val="008F4917"/>
    <w:rsid w:val="008F7F5E"/>
    <w:rsid w:val="009034EF"/>
    <w:rsid w:val="00907846"/>
    <w:rsid w:val="00910EA6"/>
    <w:rsid w:val="009123B1"/>
    <w:rsid w:val="00913118"/>
    <w:rsid w:val="009154CC"/>
    <w:rsid w:val="009215ED"/>
    <w:rsid w:val="00924CE4"/>
    <w:rsid w:val="00925B9E"/>
    <w:rsid w:val="0092731C"/>
    <w:rsid w:val="00927F01"/>
    <w:rsid w:val="00930B1C"/>
    <w:rsid w:val="00931A75"/>
    <w:rsid w:val="00931B5C"/>
    <w:rsid w:val="0093244B"/>
    <w:rsid w:val="009335F3"/>
    <w:rsid w:val="00933D93"/>
    <w:rsid w:val="009340E2"/>
    <w:rsid w:val="00935759"/>
    <w:rsid w:val="009363C8"/>
    <w:rsid w:val="00945451"/>
    <w:rsid w:val="009501A0"/>
    <w:rsid w:val="009502FA"/>
    <w:rsid w:val="00951EB8"/>
    <w:rsid w:val="00952427"/>
    <w:rsid w:val="00954058"/>
    <w:rsid w:val="009560EF"/>
    <w:rsid w:val="009618BF"/>
    <w:rsid w:val="0096206E"/>
    <w:rsid w:val="009653A6"/>
    <w:rsid w:val="00966B20"/>
    <w:rsid w:val="009713E5"/>
    <w:rsid w:val="00972CF0"/>
    <w:rsid w:val="0097307B"/>
    <w:rsid w:val="009730F3"/>
    <w:rsid w:val="00975529"/>
    <w:rsid w:val="00975877"/>
    <w:rsid w:val="00976F47"/>
    <w:rsid w:val="009809EF"/>
    <w:rsid w:val="0099114D"/>
    <w:rsid w:val="0099138D"/>
    <w:rsid w:val="00991614"/>
    <w:rsid w:val="009933CC"/>
    <w:rsid w:val="00994223"/>
    <w:rsid w:val="00995937"/>
    <w:rsid w:val="009A2954"/>
    <w:rsid w:val="009A4350"/>
    <w:rsid w:val="009A5214"/>
    <w:rsid w:val="009A6D0B"/>
    <w:rsid w:val="009B0867"/>
    <w:rsid w:val="009B3F22"/>
    <w:rsid w:val="009B55B8"/>
    <w:rsid w:val="009B5E8A"/>
    <w:rsid w:val="009B676C"/>
    <w:rsid w:val="009B690E"/>
    <w:rsid w:val="009B6D27"/>
    <w:rsid w:val="009C0B20"/>
    <w:rsid w:val="009C1B61"/>
    <w:rsid w:val="009C1CD8"/>
    <w:rsid w:val="009C57E3"/>
    <w:rsid w:val="009C5ECD"/>
    <w:rsid w:val="009C7565"/>
    <w:rsid w:val="009C7FAE"/>
    <w:rsid w:val="009D2BA7"/>
    <w:rsid w:val="009D33A4"/>
    <w:rsid w:val="009D50A3"/>
    <w:rsid w:val="009D73C0"/>
    <w:rsid w:val="009D7B1D"/>
    <w:rsid w:val="009E2846"/>
    <w:rsid w:val="009F2ACA"/>
    <w:rsid w:val="009F5BB3"/>
    <w:rsid w:val="009F6B16"/>
    <w:rsid w:val="00A01040"/>
    <w:rsid w:val="00A03327"/>
    <w:rsid w:val="00A03A93"/>
    <w:rsid w:val="00A0467D"/>
    <w:rsid w:val="00A0744B"/>
    <w:rsid w:val="00A1030A"/>
    <w:rsid w:val="00A105DD"/>
    <w:rsid w:val="00A10F05"/>
    <w:rsid w:val="00A14A87"/>
    <w:rsid w:val="00A2002F"/>
    <w:rsid w:val="00A20D2A"/>
    <w:rsid w:val="00A231D7"/>
    <w:rsid w:val="00A24758"/>
    <w:rsid w:val="00A251B6"/>
    <w:rsid w:val="00A26025"/>
    <w:rsid w:val="00A26A3F"/>
    <w:rsid w:val="00A27699"/>
    <w:rsid w:val="00A2777E"/>
    <w:rsid w:val="00A2793E"/>
    <w:rsid w:val="00A31FF8"/>
    <w:rsid w:val="00A3381C"/>
    <w:rsid w:val="00A35535"/>
    <w:rsid w:val="00A364B6"/>
    <w:rsid w:val="00A3738A"/>
    <w:rsid w:val="00A37F6E"/>
    <w:rsid w:val="00A40393"/>
    <w:rsid w:val="00A41161"/>
    <w:rsid w:val="00A416B7"/>
    <w:rsid w:val="00A430A5"/>
    <w:rsid w:val="00A44465"/>
    <w:rsid w:val="00A44891"/>
    <w:rsid w:val="00A44F1B"/>
    <w:rsid w:val="00A473E2"/>
    <w:rsid w:val="00A57036"/>
    <w:rsid w:val="00A571E0"/>
    <w:rsid w:val="00A63A8A"/>
    <w:rsid w:val="00A64454"/>
    <w:rsid w:val="00A64455"/>
    <w:rsid w:val="00A64E07"/>
    <w:rsid w:val="00A70B81"/>
    <w:rsid w:val="00A7261C"/>
    <w:rsid w:val="00A775ED"/>
    <w:rsid w:val="00A80F84"/>
    <w:rsid w:val="00A81C76"/>
    <w:rsid w:val="00A82C2D"/>
    <w:rsid w:val="00A83608"/>
    <w:rsid w:val="00A85CA4"/>
    <w:rsid w:val="00A867FE"/>
    <w:rsid w:val="00A9267B"/>
    <w:rsid w:val="00A93CC3"/>
    <w:rsid w:val="00AA0E2E"/>
    <w:rsid w:val="00AA1467"/>
    <w:rsid w:val="00AA326D"/>
    <w:rsid w:val="00AA79DB"/>
    <w:rsid w:val="00AB16DC"/>
    <w:rsid w:val="00AB41F3"/>
    <w:rsid w:val="00AB5ABA"/>
    <w:rsid w:val="00AB6C4F"/>
    <w:rsid w:val="00AB6C87"/>
    <w:rsid w:val="00AB7363"/>
    <w:rsid w:val="00AB7D84"/>
    <w:rsid w:val="00AC4DD5"/>
    <w:rsid w:val="00AC5029"/>
    <w:rsid w:val="00AD4A8A"/>
    <w:rsid w:val="00AD7C05"/>
    <w:rsid w:val="00AE0416"/>
    <w:rsid w:val="00AE4F59"/>
    <w:rsid w:val="00AE5535"/>
    <w:rsid w:val="00AE5A22"/>
    <w:rsid w:val="00AE63C4"/>
    <w:rsid w:val="00AE6605"/>
    <w:rsid w:val="00AE7B7A"/>
    <w:rsid w:val="00AF08DB"/>
    <w:rsid w:val="00AF4854"/>
    <w:rsid w:val="00AF6661"/>
    <w:rsid w:val="00AF75CC"/>
    <w:rsid w:val="00B049CD"/>
    <w:rsid w:val="00B05D6C"/>
    <w:rsid w:val="00B07083"/>
    <w:rsid w:val="00B071A5"/>
    <w:rsid w:val="00B1174F"/>
    <w:rsid w:val="00B1201E"/>
    <w:rsid w:val="00B13C9C"/>
    <w:rsid w:val="00B1540E"/>
    <w:rsid w:val="00B16693"/>
    <w:rsid w:val="00B166AB"/>
    <w:rsid w:val="00B1674C"/>
    <w:rsid w:val="00B218AD"/>
    <w:rsid w:val="00B24B12"/>
    <w:rsid w:val="00B2500B"/>
    <w:rsid w:val="00B264D2"/>
    <w:rsid w:val="00B340B2"/>
    <w:rsid w:val="00B35CC6"/>
    <w:rsid w:val="00B410B3"/>
    <w:rsid w:val="00B42BA9"/>
    <w:rsid w:val="00B4591C"/>
    <w:rsid w:val="00B46335"/>
    <w:rsid w:val="00B50309"/>
    <w:rsid w:val="00B52483"/>
    <w:rsid w:val="00B526EB"/>
    <w:rsid w:val="00B532F7"/>
    <w:rsid w:val="00B534A7"/>
    <w:rsid w:val="00B5354F"/>
    <w:rsid w:val="00B54E00"/>
    <w:rsid w:val="00B60383"/>
    <w:rsid w:val="00B62ABF"/>
    <w:rsid w:val="00B63E93"/>
    <w:rsid w:val="00B6496A"/>
    <w:rsid w:val="00B66C96"/>
    <w:rsid w:val="00B67130"/>
    <w:rsid w:val="00B70C29"/>
    <w:rsid w:val="00B71191"/>
    <w:rsid w:val="00B754E4"/>
    <w:rsid w:val="00B769DF"/>
    <w:rsid w:val="00B81E15"/>
    <w:rsid w:val="00B842CF"/>
    <w:rsid w:val="00B85E88"/>
    <w:rsid w:val="00B908CB"/>
    <w:rsid w:val="00B9336C"/>
    <w:rsid w:val="00B95252"/>
    <w:rsid w:val="00BA07B2"/>
    <w:rsid w:val="00BA3D4E"/>
    <w:rsid w:val="00BB0284"/>
    <w:rsid w:val="00BB0EC3"/>
    <w:rsid w:val="00BB0FD8"/>
    <w:rsid w:val="00BB1CC3"/>
    <w:rsid w:val="00BB7157"/>
    <w:rsid w:val="00BB76B2"/>
    <w:rsid w:val="00BC10B0"/>
    <w:rsid w:val="00BC3762"/>
    <w:rsid w:val="00BC4BD9"/>
    <w:rsid w:val="00BC6E95"/>
    <w:rsid w:val="00BC7497"/>
    <w:rsid w:val="00BD11DB"/>
    <w:rsid w:val="00BD2582"/>
    <w:rsid w:val="00BD7BE5"/>
    <w:rsid w:val="00BE09F4"/>
    <w:rsid w:val="00BE1C8C"/>
    <w:rsid w:val="00BE21AE"/>
    <w:rsid w:val="00BE2EAD"/>
    <w:rsid w:val="00BE35EA"/>
    <w:rsid w:val="00BE49D6"/>
    <w:rsid w:val="00BE76C0"/>
    <w:rsid w:val="00BF2716"/>
    <w:rsid w:val="00BF2CFB"/>
    <w:rsid w:val="00BF67FC"/>
    <w:rsid w:val="00C016D6"/>
    <w:rsid w:val="00C03966"/>
    <w:rsid w:val="00C0439A"/>
    <w:rsid w:val="00C146C5"/>
    <w:rsid w:val="00C14908"/>
    <w:rsid w:val="00C159A3"/>
    <w:rsid w:val="00C202E9"/>
    <w:rsid w:val="00C21422"/>
    <w:rsid w:val="00C21B25"/>
    <w:rsid w:val="00C2235B"/>
    <w:rsid w:val="00C22542"/>
    <w:rsid w:val="00C2539D"/>
    <w:rsid w:val="00C265F9"/>
    <w:rsid w:val="00C26D9B"/>
    <w:rsid w:val="00C30B61"/>
    <w:rsid w:val="00C3176B"/>
    <w:rsid w:val="00C3472E"/>
    <w:rsid w:val="00C3623D"/>
    <w:rsid w:val="00C370B7"/>
    <w:rsid w:val="00C40438"/>
    <w:rsid w:val="00C424F3"/>
    <w:rsid w:val="00C4424C"/>
    <w:rsid w:val="00C44FF2"/>
    <w:rsid w:val="00C4503B"/>
    <w:rsid w:val="00C457C3"/>
    <w:rsid w:val="00C5226C"/>
    <w:rsid w:val="00C578F2"/>
    <w:rsid w:val="00C57EF4"/>
    <w:rsid w:val="00C6155C"/>
    <w:rsid w:val="00C67BBF"/>
    <w:rsid w:val="00C71139"/>
    <w:rsid w:val="00C714D4"/>
    <w:rsid w:val="00C7645A"/>
    <w:rsid w:val="00C76715"/>
    <w:rsid w:val="00C76B34"/>
    <w:rsid w:val="00C8284B"/>
    <w:rsid w:val="00C85B10"/>
    <w:rsid w:val="00C90B70"/>
    <w:rsid w:val="00C9110A"/>
    <w:rsid w:val="00C91CE1"/>
    <w:rsid w:val="00C9214A"/>
    <w:rsid w:val="00C931BD"/>
    <w:rsid w:val="00C932DF"/>
    <w:rsid w:val="00C96744"/>
    <w:rsid w:val="00CA2131"/>
    <w:rsid w:val="00CA4782"/>
    <w:rsid w:val="00CB226B"/>
    <w:rsid w:val="00CB284A"/>
    <w:rsid w:val="00CB35D0"/>
    <w:rsid w:val="00CB4853"/>
    <w:rsid w:val="00CB5201"/>
    <w:rsid w:val="00CB56BC"/>
    <w:rsid w:val="00CB5F95"/>
    <w:rsid w:val="00CC17BB"/>
    <w:rsid w:val="00CC6B47"/>
    <w:rsid w:val="00CD2139"/>
    <w:rsid w:val="00CD4C72"/>
    <w:rsid w:val="00CD4FC1"/>
    <w:rsid w:val="00CD7AC8"/>
    <w:rsid w:val="00CD7F19"/>
    <w:rsid w:val="00CE0DCD"/>
    <w:rsid w:val="00CE1143"/>
    <w:rsid w:val="00CE5751"/>
    <w:rsid w:val="00CE695B"/>
    <w:rsid w:val="00CF6B6B"/>
    <w:rsid w:val="00CF6E30"/>
    <w:rsid w:val="00CF6F11"/>
    <w:rsid w:val="00D00C5F"/>
    <w:rsid w:val="00D01ACF"/>
    <w:rsid w:val="00D031DF"/>
    <w:rsid w:val="00D03DA6"/>
    <w:rsid w:val="00D04F51"/>
    <w:rsid w:val="00D068F4"/>
    <w:rsid w:val="00D06D43"/>
    <w:rsid w:val="00D11CA1"/>
    <w:rsid w:val="00D13A0B"/>
    <w:rsid w:val="00D201C0"/>
    <w:rsid w:val="00D265B6"/>
    <w:rsid w:val="00D31916"/>
    <w:rsid w:val="00D344B8"/>
    <w:rsid w:val="00D34802"/>
    <w:rsid w:val="00D36D34"/>
    <w:rsid w:val="00D37CCA"/>
    <w:rsid w:val="00D53D5B"/>
    <w:rsid w:val="00D54A81"/>
    <w:rsid w:val="00D618F9"/>
    <w:rsid w:val="00D61D92"/>
    <w:rsid w:val="00D6538A"/>
    <w:rsid w:val="00D65F43"/>
    <w:rsid w:val="00D704F9"/>
    <w:rsid w:val="00D70BB0"/>
    <w:rsid w:val="00D77A97"/>
    <w:rsid w:val="00D84AD3"/>
    <w:rsid w:val="00D8694B"/>
    <w:rsid w:val="00D8738F"/>
    <w:rsid w:val="00D90457"/>
    <w:rsid w:val="00D92073"/>
    <w:rsid w:val="00D9208F"/>
    <w:rsid w:val="00D935F7"/>
    <w:rsid w:val="00D950CD"/>
    <w:rsid w:val="00DA2EBC"/>
    <w:rsid w:val="00DA58E7"/>
    <w:rsid w:val="00DB3310"/>
    <w:rsid w:val="00DB36E9"/>
    <w:rsid w:val="00DB3ACC"/>
    <w:rsid w:val="00DC034E"/>
    <w:rsid w:val="00DC1EA3"/>
    <w:rsid w:val="00DC60B6"/>
    <w:rsid w:val="00DC6467"/>
    <w:rsid w:val="00DC6C2F"/>
    <w:rsid w:val="00DC6C85"/>
    <w:rsid w:val="00DC6D78"/>
    <w:rsid w:val="00DD22D5"/>
    <w:rsid w:val="00DE0127"/>
    <w:rsid w:val="00DE0451"/>
    <w:rsid w:val="00DE11F9"/>
    <w:rsid w:val="00DE2590"/>
    <w:rsid w:val="00E00973"/>
    <w:rsid w:val="00E00EA9"/>
    <w:rsid w:val="00E01C81"/>
    <w:rsid w:val="00E033F4"/>
    <w:rsid w:val="00E07168"/>
    <w:rsid w:val="00E124DE"/>
    <w:rsid w:val="00E14049"/>
    <w:rsid w:val="00E14498"/>
    <w:rsid w:val="00E16227"/>
    <w:rsid w:val="00E17B2F"/>
    <w:rsid w:val="00E22F29"/>
    <w:rsid w:val="00E272F9"/>
    <w:rsid w:val="00E2783F"/>
    <w:rsid w:val="00E27974"/>
    <w:rsid w:val="00E30836"/>
    <w:rsid w:val="00E40D5E"/>
    <w:rsid w:val="00E42338"/>
    <w:rsid w:val="00E42731"/>
    <w:rsid w:val="00E433DC"/>
    <w:rsid w:val="00E4370B"/>
    <w:rsid w:val="00E44384"/>
    <w:rsid w:val="00E458B0"/>
    <w:rsid w:val="00E45C35"/>
    <w:rsid w:val="00E477C0"/>
    <w:rsid w:val="00E556F2"/>
    <w:rsid w:val="00E56687"/>
    <w:rsid w:val="00E57709"/>
    <w:rsid w:val="00E6117F"/>
    <w:rsid w:val="00E61805"/>
    <w:rsid w:val="00E655E6"/>
    <w:rsid w:val="00E65D03"/>
    <w:rsid w:val="00E74E34"/>
    <w:rsid w:val="00E757AD"/>
    <w:rsid w:val="00E7590C"/>
    <w:rsid w:val="00E760D5"/>
    <w:rsid w:val="00E803C7"/>
    <w:rsid w:val="00E826AD"/>
    <w:rsid w:val="00E903DD"/>
    <w:rsid w:val="00E915FA"/>
    <w:rsid w:val="00E96BE1"/>
    <w:rsid w:val="00E97943"/>
    <w:rsid w:val="00E97E72"/>
    <w:rsid w:val="00EA0116"/>
    <w:rsid w:val="00EA0FE1"/>
    <w:rsid w:val="00EA11FE"/>
    <w:rsid w:val="00EA1A38"/>
    <w:rsid w:val="00EA29FE"/>
    <w:rsid w:val="00EA2C04"/>
    <w:rsid w:val="00EA4257"/>
    <w:rsid w:val="00EA6CFC"/>
    <w:rsid w:val="00EB0516"/>
    <w:rsid w:val="00EB0699"/>
    <w:rsid w:val="00EB0C5F"/>
    <w:rsid w:val="00EB0EA9"/>
    <w:rsid w:val="00EB0F09"/>
    <w:rsid w:val="00EB2391"/>
    <w:rsid w:val="00EB3C35"/>
    <w:rsid w:val="00EC2053"/>
    <w:rsid w:val="00EC3161"/>
    <w:rsid w:val="00EC371C"/>
    <w:rsid w:val="00EC5929"/>
    <w:rsid w:val="00EC621C"/>
    <w:rsid w:val="00EC79D0"/>
    <w:rsid w:val="00ED37CC"/>
    <w:rsid w:val="00ED52D2"/>
    <w:rsid w:val="00ED64EB"/>
    <w:rsid w:val="00ED75B9"/>
    <w:rsid w:val="00ED7F3B"/>
    <w:rsid w:val="00EE1A98"/>
    <w:rsid w:val="00EE365D"/>
    <w:rsid w:val="00EE4593"/>
    <w:rsid w:val="00EE4AFC"/>
    <w:rsid w:val="00EE6634"/>
    <w:rsid w:val="00EF23E2"/>
    <w:rsid w:val="00EF4006"/>
    <w:rsid w:val="00EF4E62"/>
    <w:rsid w:val="00EF6A2B"/>
    <w:rsid w:val="00F00011"/>
    <w:rsid w:val="00F01F1C"/>
    <w:rsid w:val="00F03DF5"/>
    <w:rsid w:val="00F04179"/>
    <w:rsid w:val="00F0433E"/>
    <w:rsid w:val="00F05D25"/>
    <w:rsid w:val="00F13163"/>
    <w:rsid w:val="00F13DB3"/>
    <w:rsid w:val="00F176A7"/>
    <w:rsid w:val="00F218AE"/>
    <w:rsid w:val="00F21F07"/>
    <w:rsid w:val="00F24CEF"/>
    <w:rsid w:val="00F24DC7"/>
    <w:rsid w:val="00F24F65"/>
    <w:rsid w:val="00F2624E"/>
    <w:rsid w:val="00F262EE"/>
    <w:rsid w:val="00F32AD4"/>
    <w:rsid w:val="00F349AD"/>
    <w:rsid w:val="00F36171"/>
    <w:rsid w:val="00F40E6E"/>
    <w:rsid w:val="00F425A4"/>
    <w:rsid w:val="00F42E8C"/>
    <w:rsid w:val="00F43A7C"/>
    <w:rsid w:val="00F4425B"/>
    <w:rsid w:val="00F45D05"/>
    <w:rsid w:val="00F46349"/>
    <w:rsid w:val="00F4644E"/>
    <w:rsid w:val="00F47675"/>
    <w:rsid w:val="00F47D72"/>
    <w:rsid w:val="00F53705"/>
    <w:rsid w:val="00F541DF"/>
    <w:rsid w:val="00F54E6F"/>
    <w:rsid w:val="00F5733E"/>
    <w:rsid w:val="00F60B5F"/>
    <w:rsid w:val="00F6489C"/>
    <w:rsid w:val="00F66B88"/>
    <w:rsid w:val="00F67BC0"/>
    <w:rsid w:val="00F70936"/>
    <w:rsid w:val="00F748C4"/>
    <w:rsid w:val="00F74C3D"/>
    <w:rsid w:val="00F76DFE"/>
    <w:rsid w:val="00F819E9"/>
    <w:rsid w:val="00F82AF7"/>
    <w:rsid w:val="00F86B39"/>
    <w:rsid w:val="00F87193"/>
    <w:rsid w:val="00F874B3"/>
    <w:rsid w:val="00F90D0A"/>
    <w:rsid w:val="00F93809"/>
    <w:rsid w:val="00FA0F73"/>
    <w:rsid w:val="00FA459D"/>
    <w:rsid w:val="00FA4A18"/>
    <w:rsid w:val="00FA5116"/>
    <w:rsid w:val="00FA6FFF"/>
    <w:rsid w:val="00FA71BA"/>
    <w:rsid w:val="00FA7BEE"/>
    <w:rsid w:val="00FB1AEB"/>
    <w:rsid w:val="00FB336C"/>
    <w:rsid w:val="00FB6522"/>
    <w:rsid w:val="00FB7026"/>
    <w:rsid w:val="00FC0A7E"/>
    <w:rsid w:val="00FC0ECF"/>
    <w:rsid w:val="00FC1720"/>
    <w:rsid w:val="00FC2557"/>
    <w:rsid w:val="00FC3763"/>
    <w:rsid w:val="00FC3A13"/>
    <w:rsid w:val="00FC4281"/>
    <w:rsid w:val="00FC5E04"/>
    <w:rsid w:val="00FC7811"/>
    <w:rsid w:val="00FD1452"/>
    <w:rsid w:val="00FD1A9E"/>
    <w:rsid w:val="00FD21C7"/>
    <w:rsid w:val="00FD759F"/>
    <w:rsid w:val="00FE18B9"/>
    <w:rsid w:val="00FE1C1C"/>
    <w:rsid w:val="00FE282C"/>
    <w:rsid w:val="00FE3C3F"/>
    <w:rsid w:val="00FE565F"/>
    <w:rsid w:val="00FE600C"/>
    <w:rsid w:val="00FE64C8"/>
    <w:rsid w:val="00FE728D"/>
    <w:rsid w:val="00FF19E6"/>
    <w:rsid w:val="00FF3232"/>
    <w:rsid w:val="00FF4279"/>
    <w:rsid w:val="00FF4583"/>
    <w:rsid w:val="00FF5590"/>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CD8F"/>
  <w14:defaultImageDpi w14:val="300"/>
  <w15:chartTrackingRefBased/>
  <w15:docId w15:val="{11BAD0AD-B6D6-487F-AFCB-EC42F1E9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B0"/>
    <w:rPr>
      <w:rFonts w:ascii="Verdana" w:hAnsi="Verdana" w:cs="HelveticaNeue-Condensed"/>
      <w:color w:val="000000"/>
    </w:rPr>
  </w:style>
  <w:style w:type="paragraph" w:styleId="Heading1">
    <w:name w:val="heading 1"/>
    <w:basedOn w:val="Normal"/>
    <w:next w:val="Normal"/>
    <w:qFormat/>
    <w:rsid w:val="003D5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0B61"/>
    <w:pPr>
      <w:keepNext/>
      <w:spacing w:before="240" w:after="60"/>
      <w:outlineLvl w:val="1"/>
    </w:pPr>
    <w:rPr>
      <w:rFonts w:ascii="Arial" w:hAnsi="Arial" w:cs="Arial"/>
      <w:b/>
      <w:bCs/>
      <w:i/>
      <w:iCs/>
      <w:sz w:val="28"/>
      <w:szCs w:val="28"/>
    </w:rPr>
  </w:style>
  <w:style w:type="paragraph" w:styleId="Heading3">
    <w:name w:val="heading 3"/>
    <w:basedOn w:val="Normal"/>
    <w:qFormat/>
    <w:rsid w:val="00D70BB0"/>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D70BB0"/>
    <w:pPr>
      <w:spacing w:before="100" w:beforeAutospacing="1" w:after="100" w:afterAutospacing="1"/>
    </w:pPr>
    <w:rPr>
      <w:rFonts w:ascii="Times New Roman" w:hAnsi="Times New Roman" w:cs="Times New Roman"/>
      <w:color w:val="auto"/>
      <w:sz w:val="24"/>
      <w:szCs w:val="24"/>
    </w:rPr>
  </w:style>
  <w:style w:type="paragraph" w:customStyle="1" w:styleId="sectionheadsubhead2">
    <w:name w:val="sectionheadsubhead2"/>
    <w:basedOn w:val="Normal"/>
    <w:rsid w:val="00D70BB0"/>
    <w:pPr>
      <w:spacing w:before="100" w:beforeAutospacing="1" w:after="100" w:afterAutospacing="1" w:line="360" w:lineRule="atLeast"/>
    </w:pPr>
    <w:rPr>
      <w:rFonts w:ascii="Trebuchet MS" w:hAnsi="Trebuchet MS" w:cs="Times New Roman"/>
      <w:b/>
      <w:bCs/>
      <w:color w:val="006699"/>
      <w:sz w:val="16"/>
      <w:szCs w:val="16"/>
    </w:rPr>
  </w:style>
  <w:style w:type="paragraph" w:styleId="PlainText">
    <w:name w:val="Plain Text"/>
    <w:basedOn w:val="Normal"/>
    <w:rsid w:val="00C30B61"/>
    <w:rPr>
      <w:rFonts w:ascii="Courier New" w:hAnsi="Courier New" w:cs="Courier New"/>
      <w:color w:val="auto"/>
    </w:rPr>
  </w:style>
  <w:style w:type="paragraph" w:customStyle="1" w:styleId="normalweb2">
    <w:name w:val="normalweb2"/>
    <w:basedOn w:val="Normal"/>
    <w:rsid w:val="00C30B61"/>
    <w:pPr>
      <w:jc w:val="both"/>
    </w:pPr>
    <w:rPr>
      <w:rFonts w:cs="Times New Roman"/>
      <w:sz w:val="25"/>
      <w:szCs w:val="25"/>
    </w:rPr>
  </w:style>
  <w:style w:type="character" w:customStyle="1" w:styleId="leveltitle1">
    <w:name w:val="leveltitle1"/>
    <w:rsid w:val="000B10B2"/>
    <w:rPr>
      <w:rFonts w:ascii="Verdana" w:hAnsi="Verdana" w:hint="default"/>
      <w:b w:val="0"/>
      <w:bCs w:val="0"/>
      <w:i w:val="0"/>
      <w:iCs w:val="0"/>
      <w:smallCaps w:val="0"/>
      <w:color w:val="0A5096"/>
      <w:sz w:val="28"/>
      <w:szCs w:val="28"/>
    </w:rPr>
  </w:style>
  <w:style w:type="paragraph" w:customStyle="1" w:styleId="Style1">
    <w:name w:val="Style1"/>
    <w:basedOn w:val="Normal"/>
    <w:rsid w:val="006A40FD"/>
    <w:pPr>
      <w:jc w:val="both"/>
    </w:pPr>
    <w:rPr>
      <w:rFonts w:ascii="Times New Roman" w:hAnsi="Times New Roman" w:cs="Times New Roman"/>
      <w:color w:val="auto"/>
      <w:sz w:val="22"/>
    </w:rPr>
  </w:style>
  <w:style w:type="paragraph" w:styleId="BalloonText">
    <w:name w:val="Balloon Text"/>
    <w:basedOn w:val="Normal"/>
    <w:link w:val="BalloonTextChar"/>
    <w:uiPriority w:val="99"/>
    <w:semiHidden/>
    <w:unhideWhenUsed/>
    <w:rsid w:val="0088336E"/>
    <w:rPr>
      <w:rFonts w:ascii="Tahoma" w:hAnsi="Tahoma" w:cs="Tahoma"/>
      <w:sz w:val="16"/>
      <w:szCs w:val="16"/>
    </w:rPr>
  </w:style>
  <w:style w:type="character" w:customStyle="1" w:styleId="BalloonTextChar">
    <w:name w:val="Balloon Text Char"/>
    <w:link w:val="BalloonText"/>
    <w:uiPriority w:val="99"/>
    <w:semiHidden/>
    <w:rsid w:val="0088336E"/>
    <w:rPr>
      <w:rFonts w:ascii="Tahoma" w:hAnsi="Tahoma" w:cs="Tahoma"/>
      <w:color w:val="000000"/>
      <w:sz w:val="16"/>
      <w:szCs w:val="16"/>
    </w:rPr>
  </w:style>
  <w:style w:type="character" w:styleId="CommentReference">
    <w:name w:val="annotation reference"/>
    <w:uiPriority w:val="99"/>
    <w:semiHidden/>
    <w:unhideWhenUsed/>
    <w:rsid w:val="00E433DC"/>
    <w:rPr>
      <w:sz w:val="16"/>
      <w:szCs w:val="16"/>
    </w:rPr>
  </w:style>
  <w:style w:type="paragraph" w:styleId="CommentText">
    <w:name w:val="annotation text"/>
    <w:basedOn w:val="Normal"/>
    <w:link w:val="CommentTextChar"/>
    <w:uiPriority w:val="99"/>
    <w:semiHidden/>
    <w:unhideWhenUsed/>
    <w:rsid w:val="00E433DC"/>
  </w:style>
  <w:style w:type="character" w:customStyle="1" w:styleId="CommentTextChar">
    <w:name w:val="Comment Text Char"/>
    <w:link w:val="CommentText"/>
    <w:uiPriority w:val="99"/>
    <w:semiHidden/>
    <w:rsid w:val="00E433DC"/>
    <w:rPr>
      <w:rFonts w:ascii="Verdana" w:hAnsi="Verdana" w:cs="HelveticaNeue-Condensed"/>
      <w:color w:val="000000"/>
    </w:rPr>
  </w:style>
  <w:style w:type="paragraph" w:styleId="CommentSubject">
    <w:name w:val="annotation subject"/>
    <w:basedOn w:val="CommentText"/>
    <w:next w:val="CommentText"/>
    <w:link w:val="CommentSubjectChar"/>
    <w:uiPriority w:val="99"/>
    <w:semiHidden/>
    <w:unhideWhenUsed/>
    <w:rsid w:val="00E433DC"/>
    <w:rPr>
      <w:b/>
      <w:bCs/>
    </w:rPr>
  </w:style>
  <w:style w:type="character" w:customStyle="1" w:styleId="CommentSubjectChar">
    <w:name w:val="Comment Subject Char"/>
    <w:link w:val="CommentSubject"/>
    <w:uiPriority w:val="99"/>
    <w:semiHidden/>
    <w:rsid w:val="00E433DC"/>
    <w:rPr>
      <w:rFonts w:ascii="Verdana" w:hAnsi="Verdana" w:cs="HelveticaNeue-Condensed"/>
      <w:b/>
      <w:bCs/>
      <w:color w:val="000000"/>
    </w:rPr>
  </w:style>
  <w:style w:type="paragraph" w:styleId="BodyTextIndent2">
    <w:name w:val="Body Text Indent 2"/>
    <w:basedOn w:val="Normal"/>
    <w:link w:val="BodyTextIndent2Char"/>
    <w:rsid w:val="00ED75B9"/>
    <w:pPr>
      <w:ind w:left="360"/>
      <w:jc w:val="both"/>
    </w:pPr>
    <w:rPr>
      <w:rFonts w:cs="Times New Roman"/>
      <w:color w:val="auto"/>
    </w:rPr>
  </w:style>
  <w:style w:type="character" w:customStyle="1" w:styleId="BodyTextIndent2Char">
    <w:name w:val="Body Text Indent 2 Char"/>
    <w:link w:val="BodyTextIndent2"/>
    <w:rsid w:val="00ED75B9"/>
    <w:rPr>
      <w:rFonts w:ascii="Verdana" w:hAnsi="Verdana"/>
    </w:rPr>
  </w:style>
  <w:style w:type="character" w:customStyle="1" w:styleId="hit">
    <w:name w:val="hit"/>
    <w:basedOn w:val="DefaultParagraphFont"/>
    <w:rsid w:val="000E5B60"/>
  </w:style>
  <w:style w:type="paragraph" w:styleId="ListParagraph">
    <w:name w:val="List Paragraph"/>
    <w:basedOn w:val="Normal"/>
    <w:uiPriority w:val="72"/>
    <w:qFormat/>
    <w:rsid w:val="00827A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Client Advisor/Tax Tips – 2915 words</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Advisor/Tax Tips – 2915 words</dc:title>
  <dc:subject/>
  <dc:creator>PCKMobile41</dc:creator>
  <cp:keywords/>
  <cp:lastModifiedBy>Wendy Claypool</cp:lastModifiedBy>
  <cp:revision>2</cp:revision>
  <dcterms:created xsi:type="dcterms:W3CDTF">2022-04-26T14:43:00Z</dcterms:created>
  <dcterms:modified xsi:type="dcterms:W3CDTF">2022-04-26T14:43:00Z</dcterms:modified>
</cp:coreProperties>
</file>